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8C0" w:rsidRPr="00BA341E" w:rsidRDefault="00A578C0" w:rsidP="00F37715">
      <w:pPr>
        <w:tabs>
          <w:tab w:val="center" w:pos="3969"/>
          <w:tab w:val="right" w:pos="8280"/>
          <w:tab w:val="right" w:pos="9781"/>
        </w:tabs>
        <w:snapToGrid w:val="0"/>
        <w:ind w:left="-2" w:right="-2"/>
        <w:rPr>
          <w:rFonts w:ascii="Arial" w:eastAsia="宋体" w:hAnsi="Arial" w:cs="Times New Roman"/>
          <w:b/>
          <w:kern w:val="0"/>
          <w:sz w:val="22"/>
        </w:rPr>
      </w:pPr>
      <w:r w:rsidRPr="004A06BE">
        <w:rPr>
          <w:rFonts w:ascii="Arial" w:eastAsia="MS Mincho" w:hAnsi="Arial" w:cs="Times New Roman"/>
          <w:b/>
          <w:kern w:val="0"/>
          <w:sz w:val="22"/>
          <w:lang w:val="x-none" w:eastAsia="en-US"/>
        </w:rPr>
        <w:t xml:space="preserve">3GPP TSG RAN WG1 </w:t>
      </w:r>
      <w:r w:rsidRPr="004A06BE">
        <w:rPr>
          <w:rFonts w:ascii="Arial" w:eastAsia="宋体" w:hAnsi="Arial" w:cs="Arial"/>
          <w:b/>
          <w:bCs/>
          <w:kern w:val="0"/>
          <w:sz w:val="22"/>
          <w:lang w:val="en-GB"/>
        </w:rPr>
        <w:t>#</w:t>
      </w:r>
      <w:r w:rsidR="00BC02F4">
        <w:rPr>
          <w:rFonts w:ascii="Arial" w:eastAsia="宋体" w:hAnsi="Arial" w:cs="Arial" w:hint="eastAsia"/>
          <w:b/>
          <w:bCs/>
          <w:kern w:val="0"/>
          <w:sz w:val="22"/>
          <w:lang w:val="en-GB"/>
        </w:rPr>
        <w:t>1</w:t>
      </w:r>
      <w:r w:rsidR="00500F35">
        <w:rPr>
          <w:rFonts w:ascii="Arial" w:eastAsia="宋体" w:hAnsi="Arial" w:cs="Arial"/>
          <w:b/>
          <w:bCs/>
          <w:kern w:val="0"/>
          <w:sz w:val="22"/>
          <w:lang w:val="en-GB"/>
        </w:rPr>
        <w:t>1</w:t>
      </w:r>
      <w:r w:rsidR="00DC6047">
        <w:rPr>
          <w:rFonts w:ascii="Arial" w:eastAsia="宋体" w:hAnsi="Arial" w:cs="Arial"/>
          <w:b/>
          <w:bCs/>
          <w:kern w:val="0"/>
          <w:sz w:val="22"/>
          <w:lang w:val="en-GB"/>
        </w:rPr>
        <w:t>3</w:t>
      </w:r>
      <w:r w:rsidRPr="004A06BE">
        <w:rPr>
          <w:rFonts w:ascii="Arial" w:eastAsia="宋体" w:hAnsi="Arial" w:cs="Arial" w:hint="eastAsia"/>
          <w:b/>
          <w:bCs/>
          <w:kern w:val="0"/>
          <w:sz w:val="22"/>
          <w:lang w:val="en-GB"/>
        </w:rPr>
        <w:t xml:space="preserve">                      </w:t>
      </w:r>
      <w:r w:rsidR="00DC6047">
        <w:rPr>
          <w:rFonts w:ascii="Arial" w:eastAsia="宋体" w:hAnsi="Arial" w:cs="Arial"/>
          <w:b/>
          <w:bCs/>
          <w:kern w:val="0"/>
          <w:sz w:val="22"/>
          <w:lang w:val="en-GB"/>
        </w:rPr>
        <w:t xml:space="preserve">    </w:t>
      </w:r>
      <w:r w:rsidRPr="004A06BE">
        <w:rPr>
          <w:rFonts w:ascii="Arial" w:eastAsia="宋体" w:hAnsi="Arial" w:cs="Arial" w:hint="eastAsia"/>
          <w:b/>
          <w:bCs/>
          <w:kern w:val="0"/>
          <w:sz w:val="22"/>
          <w:lang w:val="en-GB"/>
        </w:rPr>
        <w:t xml:space="preserve">       </w:t>
      </w:r>
      <w:r w:rsidR="00073FB0">
        <w:rPr>
          <w:rFonts w:ascii="Arial" w:eastAsia="宋体" w:hAnsi="Arial" w:cs="Arial"/>
          <w:b/>
          <w:bCs/>
          <w:kern w:val="0"/>
          <w:sz w:val="22"/>
          <w:lang w:val="en-GB"/>
        </w:rPr>
        <w:t xml:space="preserve">    </w:t>
      </w:r>
      <w:r w:rsidR="00500F35">
        <w:rPr>
          <w:rFonts w:ascii="Arial" w:eastAsia="宋体" w:hAnsi="Arial" w:cs="Arial"/>
          <w:b/>
          <w:bCs/>
          <w:kern w:val="0"/>
          <w:sz w:val="22"/>
          <w:lang w:val="en-GB"/>
        </w:rPr>
        <w:t xml:space="preserve">     </w:t>
      </w:r>
      <w:r w:rsidR="00073FB0">
        <w:rPr>
          <w:rFonts w:ascii="Arial" w:eastAsia="宋体" w:hAnsi="Arial" w:cs="Arial"/>
          <w:b/>
          <w:bCs/>
          <w:kern w:val="0"/>
          <w:sz w:val="22"/>
          <w:lang w:val="en-GB"/>
        </w:rPr>
        <w:t xml:space="preserve"> </w:t>
      </w:r>
      <w:r w:rsidR="00002365">
        <w:rPr>
          <w:rFonts w:ascii="Arial" w:eastAsia="宋体" w:hAnsi="Arial" w:cs="Arial"/>
          <w:b/>
          <w:bCs/>
          <w:kern w:val="0"/>
          <w:sz w:val="22"/>
          <w:lang w:val="en-GB"/>
        </w:rPr>
        <w:t xml:space="preserve"> </w:t>
      </w:r>
      <w:r w:rsidR="003B69FC">
        <w:rPr>
          <w:rFonts w:ascii="Arial" w:eastAsia="宋体" w:hAnsi="Arial" w:cs="Arial"/>
          <w:b/>
          <w:bCs/>
          <w:kern w:val="0"/>
          <w:sz w:val="22"/>
          <w:lang w:val="en-GB"/>
        </w:rPr>
        <w:t xml:space="preserve"> </w:t>
      </w:r>
      <w:r w:rsidR="002E0ADD">
        <w:rPr>
          <w:rFonts w:ascii="Arial" w:eastAsia="MS Mincho" w:hAnsi="Arial" w:cs="Times New Roman"/>
          <w:b/>
          <w:kern w:val="0"/>
          <w:sz w:val="22"/>
          <w:lang w:val="x-none" w:eastAsia="en-US"/>
        </w:rPr>
        <w:t>R1-</w:t>
      </w:r>
      <w:r w:rsidR="00F839C6" w:rsidRPr="00F839C6">
        <w:t xml:space="preserve"> </w:t>
      </w:r>
      <w:r w:rsidR="00002365">
        <w:rPr>
          <w:rFonts w:ascii="Arial" w:eastAsia="MS Mincho" w:hAnsi="Arial" w:cs="Times New Roman"/>
          <w:b/>
          <w:kern w:val="0"/>
          <w:sz w:val="22"/>
          <w:lang w:val="x-none" w:eastAsia="en-US"/>
        </w:rPr>
        <w:t>230</w:t>
      </w:r>
      <w:r w:rsidR="00E92E5F">
        <w:rPr>
          <w:rFonts w:ascii="Arial" w:eastAsia="MS Mincho" w:hAnsi="Arial" w:cs="Times New Roman"/>
          <w:b/>
          <w:kern w:val="0"/>
          <w:sz w:val="22"/>
          <w:lang w:val="x-none" w:eastAsia="en-US"/>
        </w:rPr>
        <w:t>4380</w:t>
      </w:r>
      <w:bookmarkStart w:id="0" w:name="_GoBack"/>
      <w:bookmarkEnd w:id="0"/>
    </w:p>
    <w:p w:rsidR="00A578C0" w:rsidRPr="00DC6047" w:rsidRDefault="00DC6047" w:rsidP="00A578C0">
      <w:pPr>
        <w:widowControl/>
        <w:tabs>
          <w:tab w:val="center" w:pos="4536"/>
          <w:tab w:val="right" w:pos="9072"/>
        </w:tabs>
        <w:ind w:left="-2"/>
        <w:jc w:val="left"/>
        <w:rPr>
          <w:rFonts w:ascii="Arial" w:eastAsia="宋体" w:hAnsi="Arial" w:cs="Times New Roman"/>
          <w:b/>
          <w:kern w:val="0"/>
          <w:sz w:val="22"/>
        </w:rPr>
      </w:pPr>
      <w:r w:rsidRPr="00DC6047">
        <w:rPr>
          <w:rFonts w:ascii="Arial" w:eastAsia="MS Mincho" w:hAnsi="Arial" w:cs="Times New Roman"/>
          <w:b/>
          <w:kern w:val="0"/>
          <w:sz w:val="22"/>
          <w:lang w:val="x-none" w:eastAsia="en-US"/>
        </w:rPr>
        <w:t>Incheon, Korea, May 22</w:t>
      </w:r>
      <w:r w:rsidRPr="00B235C0">
        <w:rPr>
          <w:rFonts w:ascii="Arial" w:eastAsia="MS Mincho" w:hAnsi="Arial" w:cs="Times New Roman"/>
          <w:b/>
          <w:kern w:val="0"/>
          <w:sz w:val="22"/>
          <w:vertAlign w:val="superscript"/>
          <w:lang w:val="x-none" w:eastAsia="en-US"/>
        </w:rPr>
        <w:t>nd</w:t>
      </w:r>
      <w:r w:rsidRPr="00DC6047">
        <w:rPr>
          <w:rFonts w:ascii="Arial" w:eastAsia="MS Mincho" w:hAnsi="Arial" w:cs="Times New Roman"/>
          <w:b/>
          <w:kern w:val="0"/>
          <w:sz w:val="22"/>
          <w:lang w:val="x-none" w:eastAsia="en-US"/>
        </w:rPr>
        <w:t xml:space="preserve"> – May 26</w:t>
      </w:r>
      <w:r w:rsidRPr="006D117A">
        <w:rPr>
          <w:rStyle w:val="4Char"/>
          <w:lang w:val="x-none" w:eastAsia="en-US"/>
        </w:rPr>
        <w:t>th</w:t>
      </w:r>
      <w:r w:rsidRPr="00DC6047">
        <w:rPr>
          <w:rFonts w:ascii="Arial" w:eastAsia="MS Mincho" w:hAnsi="Arial" w:cs="Times New Roman"/>
          <w:b/>
          <w:kern w:val="0"/>
          <w:sz w:val="22"/>
          <w:lang w:val="x-none" w:eastAsia="en-US"/>
        </w:rPr>
        <w:t>, 2023</w:t>
      </w:r>
    </w:p>
    <w:p w:rsidR="00DC6047" w:rsidRDefault="00DC6047" w:rsidP="00A578C0">
      <w:pPr>
        <w:widowControl/>
        <w:tabs>
          <w:tab w:val="left" w:pos="1800"/>
          <w:tab w:val="right" w:pos="9072"/>
        </w:tabs>
        <w:ind w:left="1798" w:hanging="1800"/>
        <w:jc w:val="left"/>
        <w:rPr>
          <w:rFonts w:ascii="Arial" w:eastAsia="MS Mincho" w:hAnsi="Arial" w:cs="Times New Roman"/>
          <w:b/>
          <w:kern w:val="0"/>
          <w:sz w:val="22"/>
          <w:lang w:val="x-none" w:eastAsia="en-US"/>
        </w:rPr>
      </w:pPr>
    </w:p>
    <w:p w:rsidR="00A578C0" w:rsidRPr="004A06BE"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Source:</w:t>
      </w:r>
      <w:r w:rsidRPr="004A06BE">
        <w:rPr>
          <w:rFonts w:ascii="Arial" w:eastAsia="MS Mincho" w:hAnsi="Arial" w:cs="Times New Roman"/>
          <w:b/>
          <w:kern w:val="0"/>
          <w:sz w:val="22"/>
          <w:lang w:val="x-none" w:eastAsia="en-US"/>
        </w:rPr>
        <w:tab/>
      </w:r>
      <w:r w:rsidR="00467FCA">
        <w:rPr>
          <w:rFonts w:ascii="Arial" w:eastAsia="宋体" w:hAnsi="Arial" w:cs="Times New Roman"/>
          <w:b/>
          <w:kern w:val="0"/>
          <w:sz w:val="22"/>
          <w:lang w:val="x-none"/>
        </w:rPr>
        <w:t>New H3C</w:t>
      </w:r>
    </w:p>
    <w:p w:rsidR="00A578C0" w:rsidRPr="00164469" w:rsidRDefault="00A578C0" w:rsidP="003F3BD9">
      <w:pPr>
        <w:widowControl/>
        <w:tabs>
          <w:tab w:val="left" w:pos="1800"/>
          <w:tab w:val="right" w:pos="9072"/>
        </w:tabs>
        <w:ind w:left="1798" w:hanging="1800"/>
        <w:jc w:val="left"/>
        <w:rPr>
          <w:rFonts w:ascii="Arial" w:eastAsia="宋体" w:hAnsi="Arial" w:cs="Times New Roman"/>
          <w:b/>
          <w:kern w:val="0"/>
          <w:sz w:val="22"/>
        </w:rPr>
      </w:pPr>
      <w:r w:rsidRPr="004A06BE">
        <w:rPr>
          <w:rFonts w:ascii="Arial" w:eastAsia="MS Mincho" w:hAnsi="Arial" w:cs="Times New Roman"/>
          <w:b/>
          <w:kern w:val="0"/>
          <w:sz w:val="22"/>
          <w:lang w:val="x-none" w:eastAsia="en-US"/>
        </w:rPr>
        <w:t>Title:</w:t>
      </w:r>
      <w:bookmarkStart w:id="1" w:name="Title"/>
      <w:bookmarkEnd w:id="1"/>
      <w:r w:rsidRPr="004A06BE">
        <w:rPr>
          <w:rFonts w:ascii="Arial" w:eastAsia="MS Mincho" w:hAnsi="Arial" w:cs="Times New Roman"/>
          <w:b/>
          <w:kern w:val="0"/>
          <w:sz w:val="22"/>
          <w:lang w:val="x-none" w:eastAsia="en-US"/>
        </w:rPr>
        <w:tab/>
      </w:r>
      <w:r w:rsidR="00164469" w:rsidRPr="00164469">
        <w:rPr>
          <w:rFonts w:ascii="Arial" w:eastAsia="MS Mincho" w:hAnsi="Arial" w:hint="eastAsia"/>
          <w:b/>
          <w:sz w:val="22"/>
          <w:lang w:val="x-none"/>
        </w:rPr>
        <w:t>Discussion</w:t>
      </w:r>
      <w:r w:rsidR="00761B07" w:rsidRPr="00761B07">
        <w:rPr>
          <w:rFonts w:ascii="Arial" w:eastAsia="MS Mincho" w:hAnsi="Arial"/>
          <w:b/>
          <w:sz w:val="22"/>
          <w:lang w:val="x-none"/>
        </w:rPr>
        <w:t xml:space="preserve"> for </w:t>
      </w:r>
      <w:r w:rsidR="001B50E5" w:rsidRPr="001B50E5">
        <w:rPr>
          <w:rFonts w:ascii="Arial" w:eastAsia="MS Mincho" w:hAnsi="Arial"/>
          <w:b/>
          <w:sz w:val="22"/>
          <w:lang w:val="x-none"/>
        </w:rPr>
        <w:t>Evaluation on NR duplex evolution</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Agenda Item:</w:t>
      </w:r>
      <w:bookmarkStart w:id="2" w:name="Source"/>
      <w:bookmarkEnd w:id="2"/>
      <w:r w:rsidRPr="004A06BE">
        <w:rPr>
          <w:rFonts w:ascii="Arial" w:eastAsia="MS Mincho" w:hAnsi="Arial" w:cs="Times New Roman"/>
          <w:b/>
          <w:kern w:val="0"/>
          <w:sz w:val="22"/>
          <w:lang w:val="x-none" w:eastAsia="en-US"/>
        </w:rPr>
        <w:tab/>
      </w:r>
      <w:r w:rsidR="001B50E5">
        <w:rPr>
          <w:rFonts w:ascii="Arial" w:eastAsia="宋体" w:hAnsi="Arial" w:cs="Times New Roman"/>
          <w:b/>
          <w:kern w:val="0"/>
          <w:sz w:val="22"/>
          <w:lang w:val="x-none"/>
        </w:rPr>
        <w:t>9.3.1</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Document for:</w:t>
      </w:r>
      <w:r w:rsidRPr="004A06BE">
        <w:rPr>
          <w:rFonts w:ascii="Arial" w:eastAsia="MS Mincho" w:hAnsi="Arial" w:cs="Times New Roman"/>
          <w:b/>
          <w:kern w:val="0"/>
          <w:sz w:val="22"/>
          <w:lang w:val="x-none" w:eastAsia="en-US"/>
        </w:rPr>
        <w:tab/>
      </w:r>
      <w:bookmarkStart w:id="3" w:name="DocumentFor"/>
      <w:bookmarkEnd w:id="3"/>
      <w:r w:rsidRPr="004A06BE">
        <w:rPr>
          <w:rFonts w:ascii="Arial" w:eastAsia="MS Mincho" w:hAnsi="Arial" w:cs="Times New Roman"/>
          <w:b/>
          <w:kern w:val="0"/>
          <w:sz w:val="22"/>
          <w:lang w:val="x-none" w:eastAsia="en-US"/>
        </w:rPr>
        <w:t>Discussio</w:t>
      </w:r>
      <w:r w:rsidRPr="004A06BE">
        <w:rPr>
          <w:rFonts w:ascii="Arial" w:eastAsia="宋体" w:hAnsi="Arial" w:cs="Times New Roman"/>
          <w:b/>
          <w:kern w:val="0"/>
          <w:sz w:val="22"/>
          <w:lang w:val="x-none"/>
        </w:rPr>
        <w:t>n</w:t>
      </w:r>
      <w:r w:rsidRPr="004A06BE">
        <w:rPr>
          <w:rFonts w:ascii="Arial" w:eastAsia="宋体" w:hAnsi="Arial" w:cs="Times New Roman" w:hint="eastAsia"/>
          <w:b/>
          <w:kern w:val="0"/>
          <w:sz w:val="22"/>
          <w:lang w:val="x-none"/>
        </w:rPr>
        <w:t xml:space="preserve"> and Decision</w:t>
      </w:r>
    </w:p>
    <w:p w:rsidR="00A578C0" w:rsidRPr="004A06BE"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Pr="004A06BE"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bookmarkStart w:id="4" w:name="_Ref521334010"/>
      <w:r w:rsidRPr="004A06BE">
        <w:rPr>
          <w:rFonts w:ascii="Arial" w:eastAsia="宋体" w:hAnsi="Arial" w:cs="Times New Roman"/>
          <w:b/>
          <w:kern w:val="32"/>
          <w:sz w:val="28"/>
          <w:szCs w:val="20"/>
          <w:lang w:val="x-none" w:eastAsia="x-none"/>
        </w:rPr>
        <w:t>Introduction</w:t>
      </w:r>
      <w:bookmarkEnd w:id="4"/>
    </w:p>
    <w:p w:rsidR="00857968" w:rsidRDefault="00AE31E2" w:rsidP="004A1CE8">
      <w:pPr>
        <w:spacing w:beforeLines="50" w:before="120"/>
        <w:rPr>
          <w:rFonts w:ascii="Times New Roman" w:eastAsia="宋体" w:hAnsi="Times New Roman" w:cs="Times New Roman"/>
          <w:sz w:val="20"/>
          <w:szCs w:val="20"/>
        </w:rPr>
      </w:pPr>
      <w:r w:rsidRPr="004A06BE">
        <w:rPr>
          <w:rFonts w:ascii="Times New Roman" w:eastAsia="宋体" w:hAnsi="Times New Roman" w:cs="Times New Roman"/>
          <w:sz w:val="20"/>
          <w:szCs w:val="20"/>
        </w:rPr>
        <w:t>In the</w:t>
      </w:r>
      <w:r w:rsidR="00BD4893">
        <w:rPr>
          <w:rFonts w:ascii="Times New Roman" w:hAnsi="Times New Roman" w:cs="Times New Roman"/>
          <w:sz w:val="20"/>
          <w:szCs w:val="20"/>
        </w:rPr>
        <w:t xml:space="preserve"> RAN1 #11</w:t>
      </w:r>
      <w:r w:rsidR="00C741B7">
        <w:rPr>
          <w:rFonts w:ascii="Times New Roman" w:hAnsi="Times New Roman" w:cs="Times New Roman"/>
          <w:sz w:val="20"/>
          <w:szCs w:val="20"/>
        </w:rPr>
        <w:t>2</w:t>
      </w:r>
      <w:r w:rsidR="00414B9B">
        <w:rPr>
          <w:rFonts w:ascii="Times New Roman" w:hAnsi="Times New Roman" w:cs="Times New Roman"/>
          <w:sz w:val="20"/>
          <w:szCs w:val="20"/>
        </w:rPr>
        <w:t>bis</w:t>
      </w:r>
      <w:r w:rsidRPr="004A06BE">
        <w:rPr>
          <w:rFonts w:ascii="Times New Roman" w:hAnsi="Times New Roman" w:cs="Times New Roman"/>
          <w:sz w:val="20"/>
          <w:szCs w:val="20"/>
        </w:rPr>
        <w:t xml:space="preserve"> </w:t>
      </w:r>
      <w:r w:rsidR="00414B9B">
        <w:rPr>
          <w:rFonts w:ascii="Times New Roman" w:hAnsi="Times New Roman" w:cs="Times New Roman"/>
          <w:sz w:val="20"/>
          <w:szCs w:val="20"/>
        </w:rPr>
        <w:t>e-</w:t>
      </w:r>
      <w:r w:rsidRPr="004A06BE">
        <w:rPr>
          <w:rFonts w:ascii="Times New Roman" w:hAnsi="Times New Roman" w:cs="Times New Roman"/>
          <w:sz w:val="20"/>
          <w:szCs w:val="20"/>
        </w:rPr>
        <w:t xml:space="preserve">meeting, </w:t>
      </w:r>
      <w:r>
        <w:rPr>
          <w:rFonts w:ascii="Times New Roman" w:hAnsi="Times New Roman" w:cs="Times New Roman" w:hint="eastAsia"/>
          <w:sz w:val="20"/>
          <w:szCs w:val="20"/>
        </w:rPr>
        <w:t>e</w:t>
      </w:r>
      <w:r w:rsidRPr="00AE31E2">
        <w:rPr>
          <w:rFonts w:ascii="Times New Roman" w:hAnsi="Times New Roman" w:cs="Times New Roman"/>
          <w:sz w:val="20"/>
          <w:szCs w:val="20"/>
          <w:lang w:eastAsia="fi-FI"/>
        </w:rPr>
        <w:t>valuation on NR duplex evolution</w:t>
      </w:r>
      <w:r>
        <w:rPr>
          <w:rFonts w:ascii="Times New Roman" w:hAnsi="Times New Roman" w:cs="Times New Roman"/>
          <w:sz w:val="20"/>
          <w:szCs w:val="20"/>
          <w:lang w:eastAsia="fi-FI"/>
        </w:rPr>
        <w:t xml:space="preserve"> </w:t>
      </w:r>
      <w:r>
        <w:rPr>
          <w:rFonts w:ascii="Times New Roman" w:eastAsia="宋体" w:hAnsi="Times New Roman" w:cs="Times New Roman"/>
          <w:sz w:val="20"/>
          <w:szCs w:val="20"/>
        </w:rPr>
        <w:t>in Rel.18</w:t>
      </w:r>
      <w:r w:rsidRPr="004A06BE">
        <w:rPr>
          <w:rFonts w:ascii="Times New Roman" w:eastAsia="宋体" w:hAnsi="Times New Roman" w:cs="Times New Roman"/>
          <w:sz w:val="20"/>
          <w:szCs w:val="20"/>
        </w:rPr>
        <w:t xml:space="preserve"> </w:t>
      </w:r>
      <w:r>
        <w:rPr>
          <w:rFonts w:ascii="Times New Roman" w:hAnsi="Times New Roman" w:cs="Times New Roman"/>
          <w:sz w:val="20"/>
          <w:szCs w:val="20"/>
        </w:rPr>
        <w:t>was</w:t>
      </w:r>
      <w:r w:rsidRPr="004A06BE">
        <w:rPr>
          <w:rFonts w:ascii="Times New Roman" w:hAnsi="Times New Roman" w:cs="Times New Roman"/>
          <w:sz w:val="20"/>
          <w:szCs w:val="20"/>
        </w:rPr>
        <w:t xml:space="preserve"> discussed. Some</w:t>
      </w:r>
      <w:r w:rsidRPr="004A06BE">
        <w:rPr>
          <w:rFonts w:ascii="Times New Roman" w:eastAsia="宋体" w:hAnsi="Times New Roman" w:cs="Times New Roman"/>
          <w:sz w:val="20"/>
          <w:szCs w:val="20"/>
        </w:rPr>
        <w:t xml:space="preserve"> agreements were </w:t>
      </w:r>
      <w:r>
        <w:rPr>
          <w:rFonts w:ascii="Times New Roman" w:eastAsia="宋体" w:hAnsi="Times New Roman" w:cs="Times New Roman"/>
          <w:sz w:val="20"/>
          <w:szCs w:val="20"/>
        </w:rPr>
        <w:t>made as below [1]</w:t>
      </w:r>
    </w:p>
    <w:p w:rsidR="00414B9B" w:rsidRDefault="00414B9B" w:rsidP="00414B9B">
      <w:pPr>
        <w:rPr>
          <w:rFonts w:ascii="Times New Roman" w:hAnsi="Times New Roman" w:cs="Times New Roman"/>
          <w:sz w:val="20"/>
          <w:szCs w:val="20"/>
          <w:highlight w:val="green"/>
          <w:lang w:eastAsia="ko-KR"/>
        </w:rPr>
      </w:pPr>
    </w:p>
    <w:p w:rsidR="00414B9B" w:rsidRPr="00414B9B" w:rsidRDefault="00414B9B" w:rsidP="00414B9B">
      <w:pPr>
        <w:rPr>
          <w:rFonts w:ascii="Times New Roman" w:hAnsi="Times New Roman" w:cs="Times New Roman"/>
          <w:sz w:val="20"/>
          <w:szCs w:val="20"/>
          <w:lang w:eastAsia="ko-KR"/>
        </w:rPr>
      </w:pPr>
      <w:r w:rsidRPr="00414B9B">
        <w:rPr>
          <w:rFonts w:ascii="Times New Roman" w:hAnsi="Times New Roman" w:cs="Times New Roman"/>
          <w:sz w:val="20"/>
          <w:szCs w:val="20"/>
          <w:highlight w:val="green"/>
          <w:lang w:eastAsia="ko-KR"/>
        </w:rPr>
        <w:t>Agreement</w:t>
      </w:r>
    </w:p>
    <w:p w:rsidR="00414B9B" w:rsidRPr="00414B9B" w:rsidRDefault="00414B9B" w:rsidP="00414B9B">
      <w:pPr>
        <w:rPr>
          <w:rFonts w:ascii="Times New Roman" w:hAnsi="Times New Roman" w:cs="Times New Roman"/>
          <w:sz w:val="20"/>
          <w:szCs w:val="20"/>
        </w:rPr>
      </w:pPr>
      <w:r w:rsidRPr="00414B9B">
        <w:rPr>
          <w:rFonts w:ascii="Times New Roman" w:hAnsi="Times New Roman" w:cs="Times New Roman"/>
          <w:sz w:val="20"/>
          <w:szCs w:val="20"/>
        </w:rPr>
        <w:t>Confirm the previous working assumption in RAN1#112 meeting as below.</w:t>
      </w:r>
    </w:p>
    <w:p w:rsidR="00414B9B" w:rsidRPr="00414B9B" w:rsidRDefault="00414B9B" w:rsidP="00414B9B">
      <w:pPr>
        <w:ind w:left="720"/>
        <w:rPr>
          <w:rFonts w:ascii="Times New Roman" w:hAnsi="Times New Roman" w:cs="Times New Roman"/>
          <w:sz w:val="20"/>
          <w:szCs w:val="20"/>
          <w:highlight w:val="darkYellow"/>
        </w:rPr>
      </w:pPr>
      <w:r w:rsidRPr="00414B9B">
        <w:rPr>
          <w:rFonts w:ascii="Times New Roman" w:hAnsi="Times New Roman" w:cs="Times New Roman"/>
          <w:sz w:val="20"/>
          <w:szCs w:val="20"/>
          <w:highlight w:val="darkYellow"/>
        </w:rPr>
        <w:t>Working Assumption:</w:t>
      </w:r>
    </w:p>
    <w:p w:rsidR="00414B9B" w:rsidRPr="00414B9B" w:rsidRDefault="00414B9B" w:rsidP="00414B9B">
      <w:pPr>
        <w:ind w:left="720"/>
        <w:rPr>
          <w:rFonts w:ascii="Times New Roman" w:hAnsi="Times New Roman" w:cs="Times New Roman"/>
          <w:sz w:val="20"/>
          <w:szCs w:val="20"/>
        </w:rPr>
      </w:pPr>
      <w:r w:rsidRPr="00414B9B">
        <w:rPr>
          <w:rFonts w:ascii="Times New Roman" w:hAnsi="Times New Roman" w:cs="Times New Roman"/>
          <w:sz w:val="20"/>
          <w:szCs w:val="20"/>
        </w:rPr>
        <w:t xml:space="preserve">For co-site inter-sector co-channel inter-subband CLI modelling, before receiving RAN4’s reply on the value of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α</m:t>
            </m:r>
          </m:e>
          <m:sub>
            <m:r>
              <m:rPr>
                <m:sty m:val="p"/>
              </m:rPr>
              <w:rPr>
                <w:rFonts w:ascii="Cambria Math" w:hAnsi="Cambria Math" w:cs="Times New Roman"/>
                <w:sz w:val="20"/>
                <w:szCs w:val="20"/>
              </w:rPr>
              <m:t>co-site</m:t>
            </m:r>
          </m:sub>
          <m:sup/>
        </m:sSubSup>
      </m:oMath>
      <w:r w:rsidRPr="00414B9B">
        <w:rPr>
          <w:rFonts w:ascii="Times New Roman" w:hAnsi="Times New Roman" w:cs="Times New Roman"/>
          <w:sz w:val="20"/>
          <w:szCs w:val="20"/>
        </w:rPr>
        <w:t>, RAN1 assume the following only for evaluation:</w:t>
      </w:r>
    </w:p>
    <w:p w:rsidR="00414B9B" w:rsidRPr="00414B9B" w:rsidRDefault="00414B9B" w:rsidP="00414B9B">
      <w:pPr>
        <w:numPr>
          <w:ilvl w:val="0"/>
          <w:numId w:val="46"/>
        </w:numPr>
        <w:autoSpaceDE w:val="0"/>
        <w:autoSpaceDN w:val="0"/>
        <w:ind w:left="1480"/>
        <w:rPr>
          <w:rFonts w:ascii="Times New Roman" w:hAnsi="Times New Roman" w:cs="Times New Roman"/>
          <w:sz w:val="20"/>
          <w:szCs w:val="20"/>
        </w:rPr>
      </w:pPr>
      <w:r w:rsidRPr="00414B9B">
        <w:rPr>
          <w:rFonts w:ascii="Times New Roman" w:hAnsi="Times New Roman" w:cs="Times New Roman"/>
          <w:sz w:val="20"/>
          <w:szCs w:val="20"/>
        </w:rPr>
        <w:t>FR1:</w:t>
      </w:r>
    </w:p>
    <w:p w:rsidR="00414B9B" w:rsidRPr="00414B9B" w:rsidRDefault="00414B9B" w:rsidP="00414B9B">
      <w:pPr>
        <w:numPr>
          <w:ilvl w:val="1"/>
          <w:numId w:val="46"/>
        </w:numPr>
        <w:autoSpaceDE w:val="0"/>
        <w:autoSpaceDN w:val="0"/>
        <w:ind w:left="2200"/>
        <w:rPr>
          <w:rFonts w:ascii="Times New Roman" w:hAnsi="Times New Roman" w:cs="Times New Roman"/>
          <w:sz w:val="20"/>
          <w:szCs w:val="20"/>
        </w:rPr>
      </w:pPr>
      <w:r w:rsidRPr="00414B9B">
        <w:rPr>
          <w:rFonts w:ascii="Times New Roman" w:hAnsi="Times New Roman" w:cs="Times New Roman"/>
          <w:sz w:val="20"/>
          <w:szCs w:val="20"/>
        </w:rPr>
        <w:t>75dB for spatial isolation (RAN4 typical value).</w:t>
      </w:r>
    </w:p>
    <w:p w:rsidR="00414B9B" w:rsidRPr="00414B9B" w:rsidRDefault="00414B9B" w:rsidP="00414B9B">
      <w:pPr>
        <w:numPr>
          <w:ilvl w:val="1"/>
          <w:numId w:val="46"/>
        </w:numPr>
        <w:autoSpaceDE w:val="0"/>
        <w:autoSpaceDN w:val="0"/>
        <w:ind w:left="2200"/>
        <w:rPr>
          <w:rFonts w:ascii="Times New Roman" w:hAnsi="Times New Roman" w:cs="Times New Roman"/>
          <w:sz w:val="20"/>
          <w:szCs w:val="20"/>
        </w:rPr>
      </w:pPr>
      <w:r w:rsidRPr="00414B9B">
        <w:rPr>
          <w:rFonts w:ascii="Times New Roman" w:hAnsi="Times New Roman" w:cs="Times New Roman"/>
          <w:sz w:val="20"/>
          <w:szCs w:val="20"/>
        </w:rPr>
        <w:t>93dB for spatial isolation (RAN4 best value).</w:t>
      </w:r>
    </w:p>
    <w:p w:rsidR="00414B9B" w:rsidRPr="00414B9B" w:rsidRDefault="00414B9B" w:rsidP="00414B9B">
      <w:pPr>
        <w:numPr>
          <w:ilvl w:val="1"/>
          <w:numId w:val="46"/>
        </w:numPr>
        <w:autoSpaceDE w:val="0"/>
        <w:autoSpaceDN w:val="0"/>
        <w:ind w:left="2200"/>
        <w:rPr>
          <w:rFonts w:ascii="Times New Roman" w:hAnsi="Times New Roman" w:cs="Times New Roman"/>
          <w:sz w:val="20"/>
          <w:szCs w:val="20"/>
        </w:rPr>
      </w:pPr>
      <w:r w:rsidRPr="00414B9B">
        <w:rPr>
          <w:rFonts w:ascii="Times New Roman" w:hAnsi="Times New Roman" w:cs="Times New Roman"/>
          <w:sz w:val="20"/>
          <w:szCs w:val="20"/>
        </w:rPr>
        <w:t xml:space="preserve">100dB for spatial isolation </w:t>
      </w:r>
    </w:p>
    <w:p w:rsidR="00414B9B" w:rsidRPr="00414B9B" w:rsidRDefault="00414B9B" w:rsidP="00414B9B">
      <w:pPr>
        <w:numPr>
          <w:ilvl w:val="0"/>
          <w:numId w:val="46"/>
        </w:numPr>
        <w:autoSpaceDE w:val="0"/>
        <w:autoSpaceDN w:val="0"/>
        <w:ind w:left="1480"/>
        <w:rPr>
          <w:rFonts w:ascii="Times New Roman" w:hAnsi="Times New Roman" w:cs="Times New Roman"/>
          <w:sz w:val="20"/>
          <w:szCs w:val="20"/>
        </w:rPr>
      </w:pPr>
      <w:r w:rsidRPr="00414B9B">
        <w:rPr>
          <w:rFonts w:ascii="Times New Roman" w:hAnsi="Times New Roman" w:cs="Times New Roman"/>
          <w:sz w:val="20"/>
          <w:szCs w:val="20"/>
        </w:rPr>
        <w:t>FR2:</w:t>
      </w:r>
    </w:p>
    <w:p w:rsidR="00414B9B" w:rsidRPr="00414B9B" w:rsidRDefault="00414B9B" w:rsidP="00414B9B">
      <w:pPr>
        <w:numPr>
          <w:ilvl w:val="1"/>
          <w:numId w:val="46"/>
        </w:numPr>
        <w:autoSpaceDE w:val="0"/>
        <w:autoSpaceDN w:val="0"/>
        <w:ind w:left="2200"/>
        <w:rPr>
          <w:rFonts w:ascii="Times New Roman" w:hAnsi="Times New Roman" w:cs="Times New Roman"/>
          <w:sz w:val="20"/>
          <w:szCs w:val="20"/>
        </w:rPr>
      </w:pPr>
      <w:r w:rsidRPr="00414B9B">
        <w:rPr>
          <w:rFonts w:ascii="Times New Roman" w:hAnsi="Times New Roman" w:cs="Times New Roman"/>
          <w:sz w:val="20"/>
          <w:szCs w:val="20"/>
        </w:rPr>
        <w:t>88dB for spatial isolation (RAN4 typical value).</w:t>
      </w:r>
    </w:p>
    <w:p w:rsidR="00414B9B" w:rsidRPr="00414B9B" w:rsidRDefault="00414B9B" w:rsidP="00414B9B">
      <w:pPr>
        <w:numPr>
          <w:ilvl w:val="1"/>
          <w:numId w:val="46"/>
        </w:numPr>
        <w:autoSpaceDE w:val="0"/>
        <w:autoSpaceDN w:val="0"/>
        <w:ind w:left="2200"/>
        <w:rPr>
          <w:rFonts w:ascii="Times New Roman" w:hAnsi="Times New Roman" w:cs="Times New Roman"/>
          <w:sz w:val="20"/>
          <w:szCs w:val="20"/>
        </w:rPr>
      </w:pPr>
      <w:r w:rsidRPr="00414B9B">
        <w:rPr>
          <w:rFonts w:ascii="Times New Roman" w:hAnsi="Times New Roman" w:cs="Times New Roman"/>
          <w:sz w:val="20"/>
          <w:szCs w:val="20"/>
        </w:rPr>
        <w:t>98dB for spatial isolation (RAN4 best value).</w:t>
      </w:r>
    </w:p>
    <w:p w:rsidR="00414B9B" w:rsidRPr="00414B9B" w:rsidRDefault="00414B9B" w:rsidP="00414B9B">
      <w:pPr>
        <w:numPr>
          <w:ilvl w:val="1"/>
          <w:numId w:val="46"/>
        </w:numPr>
        <w:autoSpaceDE w:val="0"/>
        <w:autoSpaceDN w:val="0"/>
        <w:ind w:left="2200"/>
        <w:rPr>
          <w:rFonts w:ascii="Times New Roman" w:hAnsi="Times New Roman" w:cs="Times New Roman"/>
          <w:sz w:val="20"/>
          <w:szCs w:val="20"/>
        </w:rPr>
      </w:pPr>
      <w:r w:rsidRPr="00414B9B">
        <w:rPr>
          <w:rFonts w:ascii="Times New Roman" w:hAnsi="Times New Roman" w:cs="Times New Roman"/>
          <w:sz w:val="20"/>
          <w:szCs w:val="20"/>
        </w:rPr>
        <w:t xml:space="preserve">105dB for spatial isolation </w:t>
      </w:r>
    </w:p>
    <w:p w:rsidR="00414B9B" w:rsidRPr="00414B9B" w:rsidRDefault="00414B9B" w:rsidP="00414B9B">
      <w:pPr>
        <w:numPr>
          <w:ilvl w:val="0"/>
          <w:numId w:val="46"/>
        </w:numPr>
        <w:autoSpaceDE w:val="0"/>
        <w:autoSpaceDN w:val="0"/>
        <w:ind w:left="1480"/>
        <w:rPr>
          <w:rFonts w:ascii="Times New Roman" w:hAnsi="Times New Roman" w:cs="Times New Roman"/>
          <w:sz w:val="20"/>
          <w:szCs w:val="20"/>
        </w:rPr>
      </w:pPr>
      <w:r w:rsidRPr="00414B9B">
        <w:rPr>
          <w:rFonts w:ascii="Times New Roman" w:hAnsi="Times New Roman" w:cs="Times New Roman"/>
          <w:sz w:val="20"/>
          <w:szCs w:val="20"/>
        </w:rPr>
        <w:t>In addition to spatial isolation and frequency isolation, companies can use digital cancelation and report the value, e,g., 10dB. Above does not imply that RAN1 assumes or does not assume digital cancelation is feasible.</w:t>
      </w:r>
    </w:p>
    <w:p w:rsidR="00414B9B" w:rsidRPr="00414B9B" w:rsidRDefault="00414B9B" w:rsidP="00414B9B">
      <w:pPr>
        <w:numPr>
          <w:ilvl w:val="0"/>
          <w:numId w:val="46"/>
        </w:numPr>
        <w:autoSpaceDE w:val="0"/>
        <w:autoSpaceDN w:val="0"/>
        <w:ind w:left="1480"/>
        <w:rPr>
          <w:rFonts w:ascii="Times New Roman" w:hAnsi="Times New Roman" w:cs="Times New Roman"/>
          <w:sz w:val="20"/>
          <w:szCs w:val="20"/>
        </w:rPr>
      </w:pPr>
      <w:r w:rsidRPr="00414B9B">
        <w:rPr>
          <w:rFonts w:ascii="Times New Roman" w:hAnsi="Times New Roman" w:cs="Times New Roman"/>
          <w:sz w:val="20"/>
          <w:szCs w:val="20"/>
        </w:rPr>
        <w:t>The feasibility of these values is up to RAN4. These values can be revisited based on further RAN4 inputs.</w:t>
      </w:r>
    </w:p>
    <w:p w:rsidR="00414B9B" w:rsidRPr="00414B9B" w:rsidRDefault="00414B9B" w:rsidP="00414B9B">
      <w:pPr>
        <w:numPr>
          <w:ilvl w:val="0"/>
          <w:numId w:val="46"/>
        </w:numPr>
        <w:autoSpaceDE w:val="0"/>
        <w:autoSpaceDN w:val="0"/>
        <w:ind w:left="1480"/>
        <w:rPr>
          <w:rFonts w:ascii="Times New Roman" w:hAnsi="Times New Roman" w:cs="Times New Roman"/>
          <w:sz w:val="20"/>
          <w:szCs w:val="20"/>
        </w:rPr>
      </w:pPr>
      <w:r w:rsidRPr="00414B9B">
        <w:rPr>
          <w:rFonts w:ascii="Times New Roman" w:hAnsi="Times New Roman" w:cs="Times New Roman"/>
          <w:sz w:val="20"/>
          <w:szCs w:val="20"/>
        </w:rPr>
        <w:t>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w:t>
      </w:r>
    </w:p>
    <w:p w:rsidR="00414B9B" w:rsidRPr="00414B9B" w:rsidRDefault="00414B9B" w:rsidP="00414B9B">
      <w:pPr>
        <w:rPr>
          <w:rFonts w:ascii="Times New Roman" w:hAnsi="Times New Roman" w:cs="Times New Roman"/>
          <w:sz w:val="20"/>
          <w:szCs w:val="20"/>
          <w:lang w:eastAsia="ko-KR"/>
        </w:rPr>
      </w:pPr>
    </w:p>
    <w:p w:rsidR="00414B9B" w:rsidRPr="00414B9B" w:rsidRDefault="00414B9B" w:rsidP="00414B9B">
      <w:pPr>
        <w:rPr>
          <w:rFonts w:ascii="Times New Roman" w:hAnsi="Times New Roman" w:cs="Times New Roman"/>
          <w:sz w:val="20"/>
          <w:szCs w:val="20"/>
          <w:highlight w:val="green"/>
          <w:lang w:eastAsia="ko-KR"/>
        </w:rPr>
      </w:pPr>
      <w:r w:rsidRPr="00414B9B">
        <w:rPr>
          <w:rFonts w:ascii="Times New Roman" w:hAnsi="Times New Roman" w:cs="Times New Roman"/>
          <w:sz w:val="20"/>
          <w:szCs w:val="20"/>
          <w:highlight w:val="green"/>
          <w:lang w:eastAsia="ko-KR"/>
        </w:rPr>
        <w:t>Agreement</w:t>
      </w:r>
    </w:p>
    <w:p w:rsidR="00414B9B" w:rsidRPr="00414B9B" w:rsidRDefault="00414B9B" w:rsidP="00414B9B">
      <w:pPr>
        <w:rPr>
          <w:rFonts w:ascii="Times New Roman" w:hAnsi="Times New Roman" w:cs="Times New Roman"/>
          <w:sz w:val="20"/>
          <w:szCs w:val="20"/>
        </w:rPr>
      </w:pPr>
      <w:r w:rsidRPr="00414B9B">
        <w:rPr>
          <w:rFonts w:ascii="Times New Roman" w:hAnsi="Times New Roman" w:cs="Times New Roman"/>
          <w:sz w:val="20"/>
          <w:szCs w:val="20"/>
        </w:rPr>
        <w:t>For Deployment case 3-2 (2-layer Scenario B), update Indoor-TRP to outdoor UE channel model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7511"/>
      </w:tblGrid>
      <w:tr w:rsidR="00414B9B" w:rsidRPr="00414B9B" w:rsidTr="00786810">
        <w:tc>
          <w:tcPr>
            <w:tcW w:w="855" w:type="pct"/>
            <w:shd w:val="clear" w:color="auto" w:fill="auto"/>
          </w:tcPr>
          <w:p w:rsidR="00414B9B" w:rsidRPr="00414B9B" w:rsidRDefault="00414B9B" w:rsidP="00786810">
            <w:pPr>
              <w:rPr>
                <w:rFonts w:ascii="Times New Roman" w:hAnsi="Times New Roman" w:cs="Times New Roman"/>
                <w:b/>
                <w:iCs/>
                <w:sz w:val="20"/>
                <w:szCs w:val="20"/>
              </w:rPr>
            </w:pPr>
            <w:r w:rsidRPr="00414B9B">
              <w:rPr>
                <w:rFonts w:ascii="Times New Roman" w:hAnsi="Times New Roman" w:cs="Times New Roman"/>
                <w:sz w:val="20"/>
                <w:szCs w:val="20"/>
              </w:rPr>
              <w:t>Large-scale channel parameters</w:t>
            </w:r>
          </w:p>
        </w:tc>
        <w:tc>
          <w:tcPr>
            <w:tcW w:w="4145" w:type="pct"/>
            <w:shd w:val="clear" w:color="auto" w:fill="auto"/>
          </w:tcPr>
          <w:p w:rsidR="00414B9B" w:rsidRPr="00414B9B" w:rsidRDefault="00414B9B" w:rsidP="00786810">
            <w:pPr>
              <w:tabs>
                <w:tab w:val="left" w:pos="720"/>
              </w:tabs>
              <w:rPr>
                <w:rFonts w:ascii="Times New Roman" w:hAnsi="Times New Roman" w:cs="Times New Roman"/>
                <w:sz w:val="20"/>
                <w:szCs w:val="20"/>
              </w:rPr>
            </w:pPr>
            <w:r w:rsidRPr="00414B9B">
              <w:rPr>
                <w:rFonts w:ascii="Times New Roman" w:hAnsi="Times New Roman" w:cs="Times New Roman"/>
                <w:sz w:val="20"/>
                <w:szCs w:val="20"/>
              </w:rPr>
              <w:t xml:space="preserve">Indoor TRP to Outdoor UE: </w:t>
            </w:r>
          </w:p>
          <w:p w:rsidR="00414B9B" w:rsidRPr="00414B9B" w:rsidRDefault="00414B9B" w:rsidP="00414B9B">
            <w:pPr>
              <w:numPr>
                <w:ilvl w:val="0"/>
                <w:numId w:val="44"/>
              </w:numPr>
              <w:overflowPunct w:val="0"/>
              <w:autoSpaceDE w:val="0"/>
              <w:autoSpaceDN w:val="0"/>
              <w:textAlignment w:val="baseline"/>
              <w:rPr>
                <w:rFonts w:ascii="Times New Roman" w:hAnsi="Times New Roman" w:cs="Times New Roman"/>
                <w:sz w:val="20"/>
                <w:szCs w:val="20"/>
              </w:rPr>
            </w:pPr>
            <w:r w:rsidRPr="00414B9B">
              <w:rPr>
                <w:rFonts w:ascii="Times New Roman" w:hAnsi="Times New Roman" w:cs="Times New Roman"/>
                <w:sz w:val="20"/>
                <w:szCs w:val="20"/>
              </w:rPr>
              <w:t>Option 1:</w:t>
            </w:r>
          </w:p>
          <w:p w:rsidR="00414B9B" w:rsidRPr="00414B9B" w:rsidRDefault="00414B9B" w:rsidP="00414B9B">
            <w:pPr>
              <w:numPr>
                <w:ilvl w:val="1"/>
                <w:numId w:val="44"/>
              </w:numPr>
              <w:overflowPunct w:val="0"/>
              <w:autoSpaceDE w:val="0"/>
              <w:autoSpaceDN w:val="0"/>
              <w:textAlignment w:val="baseline"/>
              <w:rPr>
                <w:rFonts w:ascii="Times New Roman" w:hAnsi="Times New Roman" w:cs="Times New Roman"/>
                <w:sz w:val="20"/>
                <w:szCs w:val="20"/>
              </w:rPr>
            </w:pPr>
            <w:r w:rsidRPr="00414B9B">
              <w:rPr>
                <w:rFonts w:ascii="Times New Roman" w:hAnsi="Times New Roman" w:cs="Times New Roman"/>
                <w:sz w:val="20"/>
                <w:szCs w:val="20"/>
              </w:rPr>
              <w:t>UMi-Street canyon in TR 38.901 (h</w:t>
            </w:r>
            <w:r w:rsidRPr="00414B9B">
              <w:rPr>
                <w:rFonts w:ascii="Times New Roman" w:hAnsi="Times New Roman" w:cs="Times New Roman"/>
                <w:sz w:val="20"/>
                <w:szCs w:val="20"/>
                <w:vertAlign w:val="subscript"/>
              </w:rPr>
              <w:t>BS</w:t>
            </w:r>
            <w:r w:rsidRPr="00414B9B">
              <w:rPr>
                <w:rFonts w:ascii="Times New Roman" w:hAnsi="Times New Roman" w:cs="Times New Roman"/>
                <w:sz w:val="20"/>
                <w:szCs w:val="20"/>
              </w:rPr>
              <w:t xml:space="preserve"> =3 m)</w:t>
            </w:r>
          </w:p>
          <w:p w:rsidR="00414B9B" w:rsidRPr="00414B9B" w:rsidRDefault="00414B9B" w:rsidP="00414B9B">
            <w:pPr>
              <w:numPr>
                <w:ilvl w:val="0"/>
                <w:numId w:val="44"/>
              </w:numPr>
              <w:autoSpaceDE w:val="0"/>
              <w:autoSpaceDN w:val="0"/>
              <w:rPr>
                <w:rFonts w:ascii="Times New Roman" w:hAnsi="Times New Roman" w:cs="Times New Roman"/>
                <w:bCs/>
                <w:sz w:val="20"/>
                <w:szCs w:val="20"/>
              </w:rPr>
            </w:pPr>
            <w:r w:rsidRPr="00414B9B">
              <w:rPr>
                <w:rFonts w:ascii="Times New Roman" w:hAnsi="Times New Roman" w:cs="Times New Roman"/>
                <w:bCs/>
                <w:sz w:val="20"/>
                <w:szCs w:val="20"/>
              </w:rPr>
              <w:t>Option 2:</w:t>
            </w:r>
          </w:p>
          <w:p w:rsidR="00414B9B" w:rsidRPr="00414B9B" w:rsidRDefault="00414B9B" w:rsidP="00414B9B">
            <w:pPr>
              <w:numPr>
                <w:ilvl w:val="1"/>
                <w:numId w:val="44"/>
              </w:numPr>
              <w:autoSpaceDE w:val="0"/>
              <w:autoSpaceDN w:val="0"/>
              <w:rPr>
                <w:rFonts w:ascii="Times New Roman" w:hAnsi="Times New Roman" w:cs="Times New Roman"/>
                <w:bCs/>
                <w:sz w:val="20"/>
                <w:szCs w:val="20"/>
              </w:rPr>
            </w:pPr>
            <w:r w:rsidRPr="00414B9B">
              <w:rPr>
                <w:rFonts w:ascii="Times New Roman" w:hAnsi="Times New Roman" w:cs="Times New Roman"/>
                <w:bCs/>
                <w:iCs/>
                <w:sz w:val="20"/>
                <w:szCs w:val="20"/>
              </w:rPr>
              <w:t>For Indoor office layer: InH-Office in TR 38.901</w:t>
            </w:r>
          </w:p>
          <w:p w:rsidR="00414B9B" w:rsidRPr="00414B9B" w:rsidRDefault="00414B9B" w:rsidP="00414B9B">
            <w:pPr>
              <w:numPr>
                <w:ilvl w:val="1"/>
                <w:numId w:val="44"/>
              </w:numPr>
              <w:autoSpaceDE w:val="0"/>
              <w:autoSpaceDN w:val="0"/>
              <w:rPr>
                <w:rFonts w:ascii="Times New Roman" w:hAnsi="Times New Roman" w:cs="Times New Roman"/>
                <w:bCs/>
                <w:sz w:val="20"/>
                <w:szCs w:val="20"/>
              </w:rPr>
            </w:pPr>
            <w:r w:rsidRPr="00414B9B">
              <w:rPr>
                <w:rFonts w:ascii="Times New Roman" w:hAnsi="Times New Roman" w:cs="Times New Roman"/>
                <w:bCs/>
                <w:iCs/>
                <w:sz w:val="20"/>
                <w:szCs w:val="20"/>
              </w:rPr>
              <w:t>For Indoor factory layer: InF in TR 38.901</w:t>
            </w:r>
          </w:p>
          <w:p w:rsidR="00414B9B" w:rsidRPr="00414B9B" w:rsidRDefault="00414B9B" w:rsidP="00414B9B">
            <w:pPr>
              <w:numPr>
                <w:ilvl w:val="0"/>
                <w:numId w:val="44"/>
              </w:numPr>
              <w:tabs>
                <w:tab w:val="left" w:pos="1080"/>
              </w:tabs>
              <w:overflowPunct w:val="0"/>
              <w:autoSpaceDE w:val="0"/>
              <w:autoSpaceDN w:val="0"/>
              <w:textAlignment w:val="baseline"/>
              <w:rPr>
                <w:rFonts w:ascii="Times New Roman" w:hAnsi="Times New Roman" w:cs="Times New Roman"/>
                <w:sz w:val="20"/>
                <w:szCs w:val="20"/>
              </w:rPr>
            </w:pPr>
            <w:r w:rsidRPr="00414B9B">
              <w:rPr>
                <w:rFonts w:ascii="Times New Roman" w:hAnsi="Times New Roman" w:cs="Times New Roman"/>
                <w:sz w:val="20"/>
                <w:szCs w:val="20"/>
              </w:rPr>
              <w:t>For both options, O2I penetration loss between indoor TRP and outdoor UE follows Table A.2.1-12 in TR38.802 (</w:t>
            </w:r>
            <m:oMath>
              <m:sSub>
                <m:sSubPr>
                  <m:ctrlPr>
                    <w:rPr>
                      <w:rFonts w:ascii="Cambria Math" w:hAnsi="Cambria Math" w:cs="Times New Roman"/>
                      <w:i/>
                      <w:sz w:val="20"/>
                      <w:szCs w:val="20"/>
                    </w:rPr>
                  </m:ctrlPr>
                </m:sSubPr>
                <m:e>
                  <m:r>
                    <w:rPr>
                      <w:rFonts w:ascii="Cambria Math" w:hAnsi="Cambria Math" w:cs="Times New Roman"/>
                      <w:sz w:val="20"/>
                      <w:szCs w:val="20"/>
                    </w:rPr>
                    <m:t>d</m:t>
                  </m:r>
                </m:e>
                <m:sub>
                  <m:r>
                    <m:rPr>
                      <m:sty m:val="p"/>
                    </m:rPr>
                    <w:rPr>
                      <w:rFonts w:ascii="Cambria Math" w:hAnsi="Cambria Math" w:cs="Times New Roman"/>
                      <w:sz w:val="20"/>
                      <w:szCs w:val="20"/>
                    </w:rPr>
                    <m:t>2D-in</m:t>
                  </m:r>
                </m:sub>
              </m:sSub>
            </m:oMath>
            <w:r w:rsidRPr="00414B9B">
              <w:rPr>
                <w:rFonts w:ascii="Times New Roman" w:hAnsi="Times New Roman" w:cs="Times New Roman"/>
                <w:sz w:val="20"/>
                <w:szCs w:val="20"/>
              </w:rPr>
              <w:t xml:space="preserve"> is the distance between the indoor TRP and the building boundary along the direction from Indoor TRP to outdoor UE. The </w:t>
            </w:r>
            <m:oMath>
              <m:sSub>
                <m:sSubPr>
                  <m:ctrlPr>
                    <w:rPr>
                      <w:rFonts w:ascii="Cambria Math" w:hAnsi="Cambria Math" w:cs="Times New Roman"/>
                      <w:i/>
                      <w:sz w:val="20"/>
                      <w:szCs w:val="20"/>
                    </w:rPr>
                  </m:ctrlPr>
                </m:sSubPr>
                <m:e>
                  <m:r>
                    <w:rPr>
                      <w:rFonts w:ascii="Cambria Math" w:hAnsi="Cambria Math" w:cs="Times New Roman"/>
                      <w:sz w:val="20"/>
                      <w:szCs w:val="20"/>
                    </w:rPr>
                    <m:t>d</m:t>
                  </m:r>
                </m:e>
                <m:sub>
                  <m:r>
                    <m:rPr>
                      <m:sty m:val="p"/>
                    </m:rPr>
                    <w:rPr>
                      <w:rFonts w:ascii="Cambria Math" w:hAnsi="Cambria Math" w:cs="Times New Roman"/>
                      <w:sz w:val="20"/>
                      <w:szCs w:val="20"/>
                    </w:rPr>
                    <m:t>2D-in</m:t>
                  </m:r>
                </m:sub>
              </m:sSub>
            </m:oMath>
            <w:r w:rsidRPr="00414B9B">
              <w:rPr>
                <w:rFonts w:ascii="Times New Roman" w:hAnsi="Times New Roman" w:cs="Times New Roman"/>
                <w:sz w:val="20"/>
                <w:szCs w:val="20"/>
              </w:rPr>
              <w:t xml:space="preserve"> may be different for different indoor-TRP-outdoor-UE links associated with the same indoor TRP)</w:t>
            </w:r>
          </w:p>
        </w:tc>
      </w:tr>
      <w:tr w:rsidR="00414B9B" w:rsidRPr="00414B9B" w:rsidTr="00786810">
        <w:tc>
          <w:tcPr>
            <w:tcW w:w="855" w:type="pct"/>
            <w:shd w:val="clear" w:color="auto" w:fill="auto"/>
          </w:tcPr>
          <w:p w:rsidR="00414B9B" w:rsidRPr="00414B9B" w:rsidRDefault="00414B9B" w:rsidP="00786810">
            <w:pPr>
              <w:rPr>
                <w:rFonts w:ascii="Times New Roman" w:hAnsi="Times New Roman" w:cs="Times New Roman"/>
                <w:b/>
                <w:iCs/>
                <w:sz w:val="20"/>
                <w:szCs w:val="20"/>
              </w:rPr>
            </w:pPr>
            <w:r w:rsidRPr="00414B9B">
              <w:rPr>
                <w:rFonts w:ascii="Times New Roman" w:hAnsi="Times New Roman" w:cs="Times New Roman"/>
                <w:sz w:val="20"/>
                <w:szCs w:val="20"/>
              </w:rPr>
              <w:t>Fast fading parameters</w:t>
            </w:r>
          </w:p>
        </w:tc>
        <w:tc>
          <w:tcPr>
            <w:tcW w:w="4145" w:type="pct"/>
            <w:shd w:val="clear" w:color="auto" w:fill="auto"/>
          </w:tcPr>
          <w:p w:rsidR="00414B9B" w:rsidRPr="00414B9B" w:rsidRDefault="00414B9B" w:rsidP="00786810">
            <w:pPr>
              <w:tabs>
                <w:tab w:val="left" w:pos="720"/>
              </w:tabs>
              <w:rPr>
                <w:rFonts w:ascii="Times New Roman" w:hAnsi="Times New Roman" w:cs="Times New Roman"/>
                <w:sz w:val="20"/>
                <w:szCs w:val="20"/>
              </w:rPr>
            </w:pPr>
            <w:r w:rsidRPr="00414B9B">
              <w:rPr>
                <w:rFonts w:ascii="Times New Roman" w:hAnsi="Times New Roman" w:cs="Times New Roman"/>
                <w:sz w:val="20"/>
                <w:szCs w:val="20"/>
              </w:rPr>
              <w:t xml:space="preserve">Indoor TRP to Outdoor UE: </w:t>
            </w:r>
          </w:p>
          <w:p w:rsidR="00414B9B" w:rsidRPr="00414B9B" w:rsidRDefault="00414B9B" w:rsidP="00414B9B">
            <w:pPr>
              <w:numPr>
                <w:ilvl w:val="0"/>
                <w:numId w:val="44"/>
              </w:numPr>
              <w:overflowPunct w:val="0"/>
              <w:autoSpaceDE w:val="0"/>
              <w:autoSpaceDN w:val="0"/>
              <w:textAlignment w:val="baseline"/>
              <w:rPr>
                <w:rFonts w:ascii="Times New Roman" w:hAnsi="Times New Roman" w:cs="Times New Roman"/>
                <w:sz w:val="20"/>
                <w:szCs w:val="20"/>
              </w:rPr>
            </w:pPr>
            <w:r w:rsidRPr="00414B9B">
              <w:rPr>
                <w:rFonts w:ascii="Times New Roman" w:hAnsi="Times New Roman" w:cs="Times New Roman"/>
                <w:sz w:val="20"/>
                <w:szCs w:val="20"/>
              </w:rPr>
              <w:t>Option 1:</w:t>
            </w:r>
          </w:p>
          <w:p w:rsidR="00414B9B" w:rsidRPr="00414B9B" w:rsidRDefault="00414B9B" w:rsidP="00414B9B">
            <w:pPr>
              <w:numPr>
                <w:ilvl w:val="1"/>
                <w:numId w:val="44"/>
              </w:numPr>
              <w:tabs>
                <w:tab w:val="left" w:pos="360"/>
              </w:tabs>
              <w:autoSpaceDE w:val="0"/>
              <w:autoSpaceDN w:val="0"/>
              <w:rPr>
                <w:rFonts w:ascii="Times New Roman" w:hAnsi="Times New Roman" w:cs="Times New Roman"/>
                <w:bCs/>
                <w:sz w:val="20"/>
                <w:szCs w:val="20"/>
              </w:rPr>
            </w:pPr>
            <w:r w:rsidRPr="00414B9B">
              <w:rPr>
                <w:rFonts w:ascii="Times New Roman" w:hAnsi="Times New Roman" w:cs="Times New Roman"/>
                <w:sz w:val="20"/>
                <w:szCs w:val="20"/>
              </w:rPr>
              <w:t>UMi-Street canyon in TR 38.901. ASD and ZSD statistics updated to be the same as ASA and ZSA</w:t>
            </w:r>
          </w:p>
          <w:p w:rsidR="00414B9B" w:rsidRPr="00414B9B" w:rsidRDefault="00414B9B" w:rsidP="00414B9B">
            <w:pPr>
              <w:numPr>
                <w:ilvl w:val="0"/>
                <w:numId w:val="44"/>
              </w:numPr>
              <w:autoSpaceDE w:val="0"/>
              <w:autoSpaceDN w:val="0"/>
              <w:rPr>
                <w:rFonts w:ascii="Times New Roman" w:hAnsi="Times New Roman" w:cs="Times New Roman"/>
                <w:bCs/>
                <w:sz w:val="20"/>
                <w:szCs w:val="20"/>
              </w:rPr>
            </w:pPr>
            <w:r w:rsidRPr="00414B9B">
              <w:rPr>
                <w:rFonts w:ascii="Times New Roman" w:hAnsi="Times New Roman" w:cs="Times New Roman"/>
                <w:bCs/>
                <w:sz w:val="20"/>
                <w:szCs w:val="20"/>
              </w:rPr>
              <w:t>Option 2:</w:t>
            </w:r>
          </w:p>
          <w:p w:rsidR="00414B9B" w:rsidRPr="00414B9B" w:rsidRDefault="00414B9B" w:rsidP="00414B9B">
            <w:pPr>
              <w:numPr>
                <w:ilvl w:val="1"/>
                <w:numId w:val="44"/>
              </w:numPr>
              <w:autoSpaceDE w:val="0"/>
              <w:autoSpaceDN w:val="0"/>
              <w:rPr>
                <w:rFonts w:ascii="Times New Roman" w:hAnsi="Times New Roman" w:cs="Times New Roman"/>
                <w:bCs/>
                <w:sz w:val="20"/>
                <w:szCs w:val="20"/>
              </w:rPr>
            </w:pPr>
            <w:r w:rsidRPr="00414B9B">
              <w:rPr>
                <w:rFonts w:ascii="Times New Roman" w:hAnsi="Times New Roman" w:cs="Times New Roman"/>
                <w:bCs/>
                <w:iCs/>
                <w:sz w:val="20"/>
                <w:szCs w:val="20"/>
              </w:rPr>
              <w:t xml:space="preserve">For Indoor office layer: InH-Office </w:t>
            </w:r>
            <w:r w:rsidRPr="00414B9B">
              <w:rPr>
                <w:rFonts w:ascii="Times New Roman" w:hAnsi="Times New Roman" w:cs="Times New Roman"/>
                <w:bCs/>
                <w:iCs/>
                <w:color w:val="FF0000"/>
                <w:sz w:val="20"/>
                <w:szCs w:val="20"/>
                <w:u w:val="single"/>
              </w:rPr>
              <w:t>(NLOS)</w:t>
            </w:r>
            <w:r w:rsidRPr="00414B9B">
              <w:rPr>
                <w:rFonts w:ascii="Times New Roman" w:hAnsi="Times New Roman" w:cs="Times New Roman"/>
                <w:bCs/>
                <w:iCs/>
                <w:sz w:val="20"/>
                <w:szCs w:val="20"/>
              </w:rPr>
              <w:t xml:space="preserve"> in TR 38.901</w:t>
            </w:r>
          </w:p>
          <w:p w:rsidR="00414B9B" w:rsidRPr="00414B9B" w:rsidRDefault="00414B9B" w:rsidP="00414B9B">
            <w:pPr>
              <w:numPr>
                <w:ilvl w:val="1"/>
                <w:numId w:val="44"/>
              </w:numPr>
              <w:overflowPunct w:val="0"/>
              <w:autoSpaceDE w:val="0"/>
              <w:autoSpaceDN w:val="0"/>
              <w:textAlignment w:val="baseline"/>
              <w:rPr>
                <w:rFonts w:ascii="Times New Roman" w:hAnsi="Times New Roman" w:cs="Times New Roman"/>
                <w:sz w:val="20"/>
                <w:szCs w:val="20"/>
              </w:rPr>
            </w:pPr>
            <w:r w:rsidRPr="00414B9B">
              <w:rPr>
                <w:rFonts w:ascii="Times New Roman" w:hAnsi="Times New Roman" w:cs="Times New Roman"/>
                <w:bCs/>
                <w:iCs/>
                <w:sz w:val="20"/>
                <w:szCs w:val="20"/>
              </w:rPr>
              <w:t xml:space="preserve">For Indoor factory layer: InF </w:t>
            </w:r>
            <w:r w:rsidRPr="00414B9B">
              <w:rPr>
                <w:rFonts w:ascii="Times New Roman" w:hAnsi="Times New Roman" w:cs="Times New Roman"/>
                <w:bCs/>
                <w:iCs/>
                <w:color w:val="FF0000"/>
                <w:sz w:val="20"/>
                <w:szCs w:val="20"/>
                <w:u w:val="single"/>
              </w:rPr>
              <w:t>(NLOS)</w:t>
            </w:r>
            <w:r w:rsidRPr="00414B9B">
              <w:rPr>
                <w:rFonts w:ascii="Times New Roman" w:hAnsi="Times New Roman" w:cs="Times New Roman"/>
                <w:bCs/>
                <w:iCs/>
                <w:sz w:val="20"/>
                <w:szCs w:val="20"/>
              </w:rPr>
              <w:t xml:space="preserve"> in TR 38.901</w:t>
            </w:r>
          </w:p>
        </w:tc>
      </w:tr>
    </w:tbl>
    <w:p w:rsidR="00414B9B" w:rsidRPr="00414B9B" w:rsidRDefault="00414B9B" w:rsidP="00414B9B">
      <w:pPr>
        <w:rPr>
          <w:rFonts w:ascii="Times New Roman" w:hAnsi="Times New Roman" w:cs="Times New Roman"/>
          <w:sz w:val="20"/>
          <w:szCs w:val="20"/>
        </w:rPr>
      </w:pPr>
    </w:p>
    <w:p w:rsidR="00414B9B" w:rsidRPr="00414B9B" w:rsidRDefault="00414B9B" w:rsidP="00414B9B">
      <w:pPr>
        <w:rPr>
          <w:rFonts w:ascii="Times New Roman" w:hAnsi="Times New Roman" w:cs="Times New Roman"/>
          <w:sz w:val="20"/>
          <w:szCs w:val="20"/>
          <w:highlight w:val="green"/>
          <w:lang w:eastAsia="ko-KR"/>
        </w:rPr>
      </w:pPr>
      <w:r w:rsidRPr="00414B9B">
        <w:rPr>
          <w:rFonts w:ascii="Times New Roman" w:hAnsi="Times New Roman" w:cs="Times New Roman"/>
          <w:sz w:val="20"/>
          <w:szCs w:val="20"/>
          <w:highlight w:val="green"/>
          <w:lang w:eastAsia="ko-KR"/>
        </w:rPr>
        <w:t>Agreement</w:t>
      </w:r>
    </w:p>
    <w:p w:rsidR="00414B9B" w:rsidRPr="00414B9B" w:rsidRDefault="00414B9B" w:rsidP="00414B9B">
      <w:pPr>
        <w:rPr>
          <w:rFonts w:ascii="Times New Roman" w:hAnsi="Times New Roman" w:cs="Times New Roman"/>
          <w:sz w:val="20"/>
          <w:szCs w:val="20"/>
        </w:rPr>
      </w:pPr>
      <w:r w:rsidRPr="00414B9B">
        <w:rPr>
          <w:rFonts w:ascii="Times New Roman" w:hAnsi="Times New Roman" w:cs="Times New Roman"/>
          <w:sz w:val="20"/>
          <w:szCs w:val="20"/>
        </w:rPr>
        <w:lastRenderedPageBreak/>
        <w:t>For link level evaluation of coverage performance, MPL, MCL and MIL as defined in TR38.830 are used as the performance metrics.</w:t>
      </w:r>
    </w:p>
    <w:p w:rsidR="00414B9B" w:rsidRPr="00414B9B" w:rsidRDefault="00414B9B" w:rsidP="00414B9B">
      <w:pPr>
        <w:rPr>
          <w:rFonts w:ascii="Times New Roman" w:hAnsi="Times New Roman" w:cs="Times New Roman"/>
          <w:sz w:val="20"/>
          <w:szCs w:val="20"/>
        </w:rPr>
      </w:pPr>
    </w:p>
    <w:p w:rsidR="00414B9B" w:rsidRPr="00414B9B" w:rsidRDefault="00414B9B" w:rsidP="00414B9B">
      <w:pPr>
        <w:rPr>
          <w:rFonts w:ascii="Times New Roman" w:hAnsi="Times New Roman" w:cs="Times New Roman"/>
          <w:sz w:val="20"/>
          <w:szCs w:val="20"/>
          <w:highlight w:val="green"/>
          <w:lang w:eastAsia="ko-KR"/>
        </w:rPr>
      </w:pPr>
      <w:r w:rsidRPr="00414B9B">
        <w:rPr>
          <w:rFonts w:ascii="Times New Roman" w:hAnsi="Times New Roman" w:cs="Times New Roman"/>
          <w:sz w:val="20"/>
          <w:szCs w:val="20"/>
          <w:highlight w:val="green"/>
          <w:lang w:eastAsia="ko-KR"/>
        </w:rPr>
        <w:t>Agreement</w:t>
      </w:r>
    </w:p>
    <w:p w:rsidR="00414B9B" w:rsidRPr="00414B9B" w:rsidRDefault="00414B9B" w:rsidP="00414B9B">
      <w:pPr>
        <w:rPr>
          <w:rFonts w:ascii="Times New Roman" w:hAnsi="Times New Roman" w:cs="Times New Roman"/>
          <w:sz w:val="20"/>
          <w:szCs w:val="20"/>
        </w:rPr>
      </w:pPr>
      <w:r w:rsidRPr="00414B9B">
        <w:rPr>
          <w:rFonts w:ascii="Times New Roman" w:hAnsi="Times New Roman" w:cs="Times New Roman"/>
          <w:sz w:val="20"/>
          <w:szCs w:val="20"/>
        </w:rPr>
        <w:t>LLS for other purpose besides coverage performance evaluation is left up to companies’ interests.</w:t>
      </w:r>
    </w:p>
    <w:p w:rsidR="00C741B7" w:rsidRDefault="00C741B7"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rsidR="00414B9B" w:rsidRDefault="00414B9B"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rsidR="006F2B0A" w:rsidRPr="006F2B0A" w:rsidRDefault="006F2B0A"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A06BE">
        <w:rPr>
          <w:rFonts w:ascii="Times New Roman" w:hAnsi="Times New Roman" w:cs="Times New Roman"/>
          <w:sz w:val="20"/>
          <w:szCs w:val="20"/>
        </w:rPr>
        <w:t xml:space="preserve">In this contribution, we provide our considerations </w:t>
      </w:r>
      <w:r w:rsidR="00164469">
        <w:rPr>
          <w:rFonts w:ascii="Times New Roman" w:hAnsi="Times New Roman" w:cs="Times New Roman"/>
          <w:sz w:val="20"/>
          <w:szCs w:val="20"/>
        </w:rPr>
        <w:t xml:space="preserve">on </w:t>
      </w:r>
      <w:r w:rsidR="00447F0B">
        <w:rPr>
          <w:rFonts w:ascii="Times New Roman" w:hAnsi="Times New Roman" w:cs="Times New Roman"/>
          <w:sz w:val="20"/>
          <w:szCs w:val="20"/>
        </w:rPr>
        <w:t>e</w:t>
      </w:r>
      <w:r w:rsidR="00447F0B" w:rsidRPr="00447F0B">
        <w:rPr>
          <w:rFonts w:ascii="Times New Roman" w:hAnsi="Times New Roman" w:cs="Times New Roman"/>
          <w:sz w:val="20"/>
          <w:szCs w:val="20"/>
        </w:rPr>
        <w:t>valuation on NR duplex evolution</w:t>
      </w:r>
      <w:r w:rsidRPr="004A06BE">
        <w:rPr>
          <w:rFonts w:ascii="Times New Roman" w:hAnsi="Times New Roman" w:cs="Times New Roman"/>
          <w:sz w:val="20"/>
          <w:szCs w:val="20"/>
        </w:rPr>
        <w:t>.</w:t>
      </w:r>
    </w:p>
    <w:p w:rsidR="000A5CDA"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b/>
          <w:kern w:val="32"/>
          <w:sz w:val="28"/>
          <w:szCs w:val="20"/>
          <w:lang w:val="x-none" w:eastAsia="x-none"/>
        </w:rPr>
        <w:t>Discussion</w:t>
      </w:r>
    </w:p>
    <w:p w:rsidR="00C3547C" w:rsidRPr="00C3547C" w:rsidRDefault="00447F0B" w:rsidP="00C3547C">
      <w:pPr>
        <w:pStyle w:val="a6"/>
        <w:numPr>
          <w:ilvl w:val="1"/>
          <w:numId w:val="7"/>
        </w:numPr>
        <w:ind w:firstLineChars="0"/>
        <w:rPr>
          <w:rFonts w:ascii="Arial" w:hAnsi="Arial" w:cs="Times New Roman"/>
          <w:b/>
          <w:kern w:val="0"/>
          <w:sz w:val="24"/>
          <w:szCs w:val="20"/>
          <w:lang w:val="x-none"/>
        </w:rPr>
      </w:pPr>
      <w:r>
        <w:rPr>
          <w:rFonts w:ascii="Arial" w:hAnsi="Arial" w:cs="Times New Roman" w:hint="eastAsia"/>
          <w:b/>
          <w:kern w:val="0"/>
          <w:sz w:val="24"/>
          <w:szCs w:val="20"/>
          <w:lang w:val="x-none"/>
        </w:rPr>
        <w:t>S</w:t>
      </w:r>
      <w:r>
        <w:rPr>
          <w:rFonts w:ascii="Arial" w:hAnsi="Arial" w:cs="Times New Roman"/>
          <w:b/>
          <w:kern w:val="0"/>
          <w:sz w:val="24"/>
          <w:szCs w:val="20"/>
          <w:lang w:val="x-none"/>
        </w:rPr>
        <w:t>i</w:t>
      </w:r>
      <w:r>
        <w:rPr>
          <w:rFonts w:ascii="Arial" w:hAnsi="Arial" w:cs="Times New Roman" w:hint="eastAsia"/>
          <w:b/>
          <w:kern w:val="0"/>
          <w:sz w:val="24"/>
          <w:szCs w:val="20"/>
          <w:lang w:val="x-none"/>
        </w:rPr>
        <w:t>mulation</w:t>
      </w:r>
      <w:r>
        <w:rPr>
          <w:rFonts w:ascii="Arial" w:hAnsi="Arial" w:cs="Times New Roman"/>
          <w:b/>
          <w:kern w:val="0"/>
          <w:sz w:val="24"/>
          <w:szCs w:val="20"/>
          <w:lang w:val="x-none"/>
        </w:rPr>
        <w:t xml:space="preserve"> assumptions</w:t>
      </w:r>
    </w:p>
    <w:p w:rsidR="00DC3B5F" w:rsidRDefault="00363AEE" w:rsidP="00DC3B5F">
      <w:pPr>
        <w:widowControl/>
        <w:spacing w:before="240" w:after="120"/>
        <w:rPr>
          <w:rFonts w:ascii="Times New Roman" w:hAnsi="Times New Roman" w:cs="Times New Roman"/>
          <w:kern w:val="0"/>
          <w:sz w:val="20"/>
          <w:szCs w:val="20"/>
          <w:lang w:val="en-GB"/>
        </w:rPr>
      </w:pPr>
      <w:r w:rsidRPr="00FC00D4">
        <w:rPr>
          <w:rFonts w:ascii="Times New Roman" w:hAnsi="Times New Roman" w:cs="Times New Roman"/>
          <w:sz w:val="20"/>
          <w:szCs w:val="20"/>
        </w:rPr>
        <w:t xml:space="preserve">For </w:t>
      </w:r>
      <w:r w:rsidR="00C741B7">
        <w:rPr>
          <w:rFonts w:ascii="Times New Roman" w:hAnsi="Times New Roman" w:cs="Times New Roman"/>
          <w:sz w:val="20"/>
          <w:szCs w:val="20"/>
        </w:rPr>
        <w:t>System level simulation (SLS)</w:t>
      </w:r>
      <w:r w:rsidR="00633023" w:rsidRPr="00BD4893">
        <w:rPr>
          <w:rFonts w:ascii="Times New Roman" w:hAnsi="Times New Roman" w:cs="Times New Roman"/>
          <w:sz w:val="20"/>
          <w:szCs w:val="20"/>
        </w:rPr>
        <w:t xml:space="preserve"> in both FR1 and FR2</w:t>
      </w:r>
      <w:r w:rsidR="00BC02F4">
        <w:rPr>
          <w:rFonts w:ascii="Times New Roman" w:hAnsi="Times New Roman" w:cs="Times New Roman" w:hint="eastAsia"/>
          <w:bCs/>
          <w:iCs/>
          <w:sz w:val="20"/>
          <w:szCs w:val="20"/>
        </w:rPr>
        <w:t>,</w:t>
      </w:r>
      <w:r w:rsidR="00BC02F4">
        <w:rPr>
          <w:rFonts w:ascii="Times New Roman" w:hAnsi="Times New Roman" w:cs="Times New Roman"/>
          <w:bCs/>
          <w:iCs/>
          <w:sz w:val="20"/>
          <w:szCs w:val="20"/>
        </w:rPr>
        <w:t xml:space="preserve"> </w:t>
      </w:r>
      <w:r w:rsidR="00BC02F4">
        <w:rPr>
          <w:rFonts w:ascii="Times New Roman" w:hAnsi="Times New Roman" w:cs="Times New Roman"/>
          <w:kern w:val="0"/>
          <w:sz w:val="20"/>
          <w:szCs w:val="20"/>
          <w:lang w:val="en-GB"/>
        </w:rPr>
        <w:t>i</w:t>
      </w:r>
      <w:r w:rsidR="00BC02F4">
        <w:rPr>
          <w:rFonts w:ascii="Times New Roman" w:hAnsi="Times New Roman" w:cs="Times New Roman" w:hint="eastAsia"/>
          <w:kern w:val="0"/>
          <w:sz w:val="20"/>
          <w:szCs w:val="20"/>
          <w:lang w:val="en-GB"/>
        </w:rPr>
        <w:t>n</w:t>
      </w:r>
      <w:r w:rsidR="00BC02F4">
        <w:rPr>
          <w:rFonts w:ascii="Times New Roman" w:hAnsi="Times New Roman" w:cs="Times New Roman"/>
          <w:kern w:val="0"/>
          <w:sz w:val="20"/>
          <w:szCs w:val="20"/>
          <w:lang w:val="en-GB"/>
        </w:rPr>
        <w:t xml:space="preserve"> term</w:t>
      </w:r>
      <w:r w:rsidR="00500F35">
        <w:rPr>
          <w:rFonts w:ascii="Times New Roman" w:hAnsi="Times New Roman" w:cs="Times New Roman"/>
          <w:kern w:val="0"/>
          <w:sz w:val="20"/>
          <w:szCs w:val="20"/>
          <w:lang w:val="en-GB"/>
        </w:rPr>
        <w:t>s</w:t>
      </w:r>
      <w:r w:rsidR="00BC02F4">
        <w:rPr>
          <w:rFonts w:ascii="Times New Roman" w:hAnsi="Times New Roman" w:cs="Times New Roman"/>
          <w:kern w:val="0"/>
          <w:sz w:val="20"/>
          <w:szCs w:val="20"/>
          <w:lang w:val="en-GB"/>
        </w:rPr>
        <w:t xml:space="preserve"> of</w:t>
      </w:r>
      <w:r w:rsidR="005F7D15" w:rsidRPr="00303BE0">
        <w:rPr>
          <w:rFonts w:ascii="Times New Roman" w:hAnsi="Times New Roman" w:cs="Times New Roman"/>
          <w:kern w:val="0"/>
          <w:sz w:val="20"/>
          <w:szCs w:val="20"/>
          <w:lang w:val="en-GB"/>
        </w:rPr>
        <w:t xml:space="preserve"> </w:t>
      </w:r>
      <w:r w:rsidR="00BC02F4">
        <w:rPr>
          <w:rFonts w:ascii="Times New Roman" w:hAnsi="Times New Roman" w:cs="Times New Roman"/>
          <w:kern w:val="0"/>
          <w:sz w:val="20"/>
          <w:szCs w:val="20"/>
          <w:lang w:val="en-GB"/>
        </w:rPr>
        <w:t xml:space="preserve">chair notes of </w:t>
      </w:r>
      <w:r>
        <w:rPr>
          <w:rFonts w:ascii="Times New Roman" w:eastAsia="宋体" w:hAnsi="Times New Roman" w:cs="Times New Roman"/>
          <w:kern w:val="0"/>
          <w:sz w:val="20"/>
          <w:szCs w:val="20"/>
          <w:lang w:val="en-GB"/>
        </w:rPr>
        <w:t>RAN1#11</w:t>
      </w:r>
      <w:r w:rsidR="00C741B7">
        <w:rPr>
          <w:rFonts w:ascii="Times New Roman" w:eastAsia="宋体" w:hAnsi="Times New Roman" w:cs="Times New Roman"/>
          <w:kern w:val="0"/>
          <w:sz w:val="20"/>
          <w:szCs w:val="20"/>
          <w:lang w:val="en-GB"/>
        </w:rPr>
        <w:t>2</w:t>
      </w:r>
      <w:r w:rsidR="005F7D15" w:rsidRPr="00303BE0">
        <w:rPr>
          <w:rFonts w:ascii="Times New Roman" w:hAnsi="Times New Roman" w:cs="Times New Roman"/>
          <w:kern w:val="0"/>
          <w:sz w:val="20"/>
          <w:szCs w:val="20"/>
          <w:lang w:val="en-GB"/>
        </w:rPr>
        <w:t>[</w:t>
      </w:r>
      <w:r w:rsidR="00B65C18" w:rsidRPr="00303BE0">
        <w:rPr>
          <w:rFonts w:ascii="Times New Roman" w:hAnsi="Times New Roman" w:cs="Times New Roman"/>
          <w:kern w:val="0"/>
          <w:sz w:val="20"/>
          <w:szCs w:val="20"/>
          <w:lang w:val="en-GB"/>
        </w:rPr>
        <w:t>1</w:t>
      </w:r>
      <w:r w:rsidR="00447F0B">
        <w:rPr>
          <w:rFonts w:ascii="Times New Roman" w:hAnsi="Times New Roman" w:cs="Times New Roman"/>
          <w:kern w:val="0"/>
          <w:sz w:val="20"/>
          <w:szCs w:val="20"/>
          <w:lang w:val="en-GB"/>
        </w:rPr>
        <w:t xml:space="preserve">], </w:t>
      </w:r>
      <w:r w:rsidR="00BC02F4">
        <w:rPr>
          <w:rFonts w:ascii="Times New Roman" w:hAnsi="Times New Roman" w:cs="Times New Roman"/>
          <w:kern w:val="0"/>
          <w:sz w:val="20"/>
          <w:szCs w:val="20"/>
          <w:lang w:val="en-GB"/>
        </w:rPr>
        <w:t xml:space="preserve">we have the following </w:t>
      </w:r>
      <w:r w:rsidR="00882AC3">
        <w:rPr>
          <w:rFonts w:ascii="Times New Roman" w:hAnsi="Times New Roman" w:cs="Times New Roman"/>
          <w:kern w:val="0"/>
          <w:sz w:val="20"/>
          <w:szCs w:val="20"/>
          <w:lang w:val="en-GB"/>
        </w:rPr>
        <w:t xml:space="preserve">two </w:t>
      </w:r>
      <w:r w:rsidR="00C741B7">
        <w:rPr>
          <w:rFonts w:ascii="Times New Roman" w:hAnsi="Times New Roman" w:cs="Times New Roman"/>
          <w:kern w:val="0"/>
          <w:sz w:val="20"/>
          <w:szCs w:val="20"/>
          <w:lang w:val="en-GB"/>
        </w:rPr>
        <w:t>assumption</w:t>
      </w:r>
      <w:r w:rsidR="00882AC3">
        <w:rPr>
          <w:rFonts w:ascii="Times New Roman" w:hAnsi="Times New Roman" w:cs="Times New Roman"/>
          <w:kern w:val="0"/>
          <w:sz w:val="20"/>
          <w:szCs w:val="20"/>
          <w:lang w:val="en-GB"/>
        </w:rPr>
        <w:t>s on table template of result summary</w:t>
      </w:r>
      <w:r w:rsidR="00BC02F4">
        <w:rPr>
          <w:rFonts w:ascii="Times New Roman" w:hAnsi="Times New Roman" w:cs="Times New Roman"/>
          <w:kern w:val="0"/>
          <w:sz w:val="20"/>
          <w:szCs w:val="20"/>
          <w:lang w:val="en-GB"/>
        </w:rPr>
        <w:t>.</w:t>
      </w:r>
    </w:p>
    <w:tbl>
      <w:tblPr>
        <w:tblStyle w:val="ad"/>
        <w:tblW w:w="0" w:type="auto"/>
        <w:tblLook w:val="04A0" w:firstRow="1" w:lastRow="0" w:firstColumn="1" w:lastColumn="0" w:noHBand="0" w:noVBand="1"/>
      </w:tblPr>
      <w:tblGrid>
        <w:gridCol w:w="9060"/>
      </w:tblGrid>
      <w:tr w:rsidR="00BC02F4" w:rsidTr="00BC02F4">
        <w:tc>
          <w:tcPr>
            <w:tcW w:w="9060" w:type="dxa"/>
          </w:tcPr>
          <w:p w:rsidR="00882AC3" w:rsidRPr="00710D26" w:rsidRDefault="00882AC3" w:rsidP="00882AC3">
            <w:pPr>
              <w:rPr>
                <w:bCs/>
                <w:highlight w:val="darkYellow"/>
              </w:rPr>
            </w:pPr>
            <w:r w:rsidRPr="00710D26">
              <w:rPr>
                <w:bCs/>
                <w:highlight w:val="darkYellow"/>
              </w:rPr>
              <w:t>Working Assumption</w:t>
            </w:r>
          </w:p>
          <w:p w:rsidR="00882AC3" w:rsidRPr="00710D26" w:rsidRDefault="00882AC3" w:rsidP="00882AC3">
            <w:r w:rsidRPr="00710D26">
              <w:t xml:space="preserve">For summary of companies’ SLS evaluation results for SBFD Deployment Case 4 in the TR, the following table-Y1 can be used as an example. </w:t>
            </w:r>
          </w:p>
          <w:p w:rsidR="00882AC3" w:rsidRPr="00710D26" w:rsidRDefault="00882AC3" w:rsidP="00882AC3">
            <w:pPr>
              <w:jc w:val="center"/>
              <w:rPr>
                <w:rFonts w:cs="Calibri"/>
                <w:bCs/>
              </w:rPr>
            </w:pPr>
            <w:r w:rsidRPr="00710D26">
              <w:rPr>
                <w:rFonts w:hint="eastAsia"/>
                <w:bCs/>
              </w:rPr>
              <w:t>T</w:t>
            </w:r>
            <w:r w:rsidRPr="00710D26">
              <w:rPr>
                <w:bCs/>
              </w:rPr>
              <w:t>able-Y1:</w:t>
            </w:r>
            <w:r w:rsidRPr="00710D26">
              <w:rPr>
                <w:rFonts w:cs="Calibri"/>
                <w:bCs/>
              </w:rPr>
              <w:t xml:space="preserve"> Summary of results for sub-case XX of SBFD Deployment Case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518"/>
              <w:gridCol w:w="845"/>
              <w:gridCol w:w="845"/>
              <w:gridCol w:w="845"/>
              <w:gridCol w:w="845"/>
              <w:gridCol w:w="845"/>
              <w:gridCol w:w="845"/>
              <w:gridCol w:w="845"/>
              <w:gridCol w:w="845"/>
              <w:gridCol w:w="845"/>
            </w:tblGrid>
            <w:tr w:rsidR="00882AC3" w:rsidRPr="00710D26" w:rsidTr="00786810">
              <w:tc>
                <w:tcPr>
                  <w:tcW w:w="5000" w:type="pct"/>
                  <w:gridSpan w:val="11"/>
                  <w:shd w:val="clear" w:color="auto" w:fill="auto"/>
                  <w:vAlign w:val="center"/>
                </w:tcPr>
                <w:p w:rsidR="00882AC3" w:rsidRPr="00710D26" w:rsidRDefault="00882AC3" w:rsidP="00882AC3">
                  <w:pPr>
                    <w:snapToGrid w:val="0"/>
                    <w:jc w:val="center"/>
                    <w:rPr>
                      <w:rFonts w:ascii="Arial" w:hAnsi="Arial" w:cs="Arial"/>
                      <w:b/>
                      <w:bCs/>
                      <w:i/>
                      <w:iCs/>
                      <w:sz w:val="14"/>
                      <w:szCs w:val="14"/>
                    </w:rPr>
                  </w:pPr>
                  <w:r w:rsidRPr="00710D26">
                    <w:rPr>
                      <w:rFonts w:ascii="Arial" w:hAnsi="Arial" w:cs="Arial"/>
                      <w:b/>
                      <w:bCs/>
                      <w:i/>
                      <w:iCs/>
                      <w:sz w:val="14"/>
                      <w:szCs w:val="14"/>
                    </w:rPr>
                    <w:t>Simple description for the sub-case (e.g., 100dB inter-sector isolation, SBFD Alt2, Twice area&amp;same TxRUs, DL: 4Kbytes, UL: 1Kbyte, …)</w:t>
                  </w:r>
                </w:p>
              </w:tc>
            </w:tr>
            <w:tr w:rsidR="00882AC3" w:rsidRPr="00710D26" w:rsidTr="00786810">
              <w:tc>
                <w:tcPr>
                  <w:tcW w:w="5000" w:type="pct"/>
                  <w:gridSpan w:val="11"/>
                  <w:shd w:val="clear" w:color="auto" w:fill="auto"/>
                  <w:vAlign w:val="center"/>
                </w:tcPr>
                <w:p w:rsidR="00882AC3" w:rsidRPr="00710D26" w:rsidRDefault="00882AC3" w:rsidP="00882AC3">
                  <w:pPr>
                    <w:snapToGrid w:val="0"/>
                    <w:jc w:val="center"/>
                    <w:rPr>
                      <w:rFonts w:ascii="Arial" w:hAnsi="Arial" w:cs="Arial"/>
                      <w:b/>
                      <w:bCs/>
                      <w:sz w:val="14"/>
                      <w:szCs w:val="14"/>
                    </w:rPr>
                  </w:pPr>
                  <w:r w:rsidRPr="00710D26">
                    <w:rPr>
                      <w:rFonts w:ascii="Arial" w:hAnsi="Arial" w:cs="Arial"/>
                      <w:b/>
                      <w:bCs/>
                      <w:color w:val="FF0000"/>
                      <w:sz w:val="14"/>
                      <w:szCs w:val="14"/>
                    </w:rPr>
                    <w:t>Operator#1 (Static TDD is always used for both baseline TDD network and SBFD Deployment Case 4)</w:t>
                  </w:r>
                </w:p>
              </w:tc>
            </w:tr>
            <w:tr w:rsidR="00882AC3" w:rsidRPr="00710D26" w:rsidTr="00786810">
              <w:tc>
                <w:tcPr>
                  <w:tcW w:w="723" w:type="pct"/>
                  <w:gridSpan w:val="2"/>
                  <w:shd w:val="clear" w:color="auto" w:fill="auto"/>
                  <w:vAlign w:val="center"/>
                </w:tcPr>
                <w:p w:rsidR="00882AC3" w:rsidRPr="00710D26" w:rsidRDefault="00882AC3" w:rsidP="00882AC3">
                  <w:pPr>
                    <w:snapToGrid w:val="0"/>
                    <w:rPr>
                      <w:rFonts w:ascii="Arial" w:hAnsi="Arial" w:cs="Arial"/>
                      <w:i/>
                      <w:sz w:val="14"/>
                      <w:szCs w:val="14"/>
                    </w:rPr>
                  </w:pPr>
                </w:p>
              </w:tc>
              <w:tc>
                <w:tcPr>
                  <w:tcW w:w="4277" w:type="pct"/>
                  <w:gridSpan w:val="9"/>
                  <w:shd w:val="clear" w:color="auto" w:fill="auto"/>
                  <w:vAlign w:val="center"/>
                </w:tcPr>
                <w:p w:rsidR="00882AC3" w:rsidRPr="00710D26" w:rsidRDefault="00882AC3" w:rsidP="00882AC3">
                  <w:pPr>
                    <w:snapToGrid w:val="0"/>
                    <w:jc w:val="center"/>
                    <w:rPr>
                      <w:rFonts w:ascii="Arial" w:hAnsi="Arial" w:cs="Arial"/>
                      <w:b/>
                      <w:sz w:val="14"/>
                      <w:szCs w:val="14"/>
                    </w:rPr>
                  </w:pPr>
                  <w:r w:rsidRPr="00710D26">
                    <w:rPr>
                      <w:rFonts w:ascii="Arial" w:hAnsi="Arial" w:cs="Arial"/>
                      <w:b/>
                      <w:bCs/>
                      <w:sz w:val="14"/>
                      <w:szCs w:val="14"/>
                    </w:rPr>
                    <w:t xml:space="preserve">DL and UL arrival rate for baseline static TDD (Type-2 RU: </w:t>
                  </w:r>
                  <w:r w:rsidRPr="00710D26">
                    <w:rPr>
                      <w:rFonts w:ascii="Arial" w:hAnsi="Arial" w:cs="Arial"/>
                      <w:b/>
                      <w:bCs/>
                      <w:iCs/>
                      <w:sz w:val="14"/>
                      <w:szCs w:val="14"/>
                    </w:rPr>
                    <w:t xml:space="preserve">&lt;10%, 20%-40% and </w:t>
                  </w:r>
                  <w:r w:rsidRPr="00710D26">
                    <w:rPr>
                      <w:rFonts w:ascii="Arial" w:hAnsi="Arial" w:cs="Arial"/>
                      <w:b/>
                      <w:bCs/>
                      <w:sz w:val="14"/>
                      <w:szCs w:val="14"/>
                    </w:rPr>
                    <w:t>≥</w:t>
                  </w:r>
                  <w:r w:rsidRPr="00710D26">
                    <w:rPr>
                      <w:rFonts w:ascii="Arial" w:hAnsi="Arial" w:cs="Arial"/>
                      <w:b/>
                      <w:bCs/>
                      <w:iCs/>
                      <w:sz w:val="14"/>
                      <w:szCs w:val="14"/>
                    </w:rPr>
                    <w:t>50%</w:t>
                  </w:r>
                  <w:r w:rsidRPr="00710D26">
                    <w:rPr>
                      <w:rFonts w:ascii="Arial" w:hAnsi="Arial" w:cs="Arial"/>
                      <w:b/>
                      <w:bCs/>
                      <w:sz w:val="14"/>
                      <w:szCs w:val="14"/>
                    </w:rPr>
                    <w:t>)</w:t>
                  </w:r>
                </w:p>
              </w:tc>
            </w:tr>
            <w:tr w:rsidR="00882AC3" w:rsidRPr="00710D26" w:rsidTr="00786810">
              <w:tc>
                <w:tcPr>
                  <w:tcW w:w="723" w:type="pct"/>
                  <w:gridSpan w:val="2"/>
                  <w:shd w:val="clear" w:color="auto" w:fill="auto"/>
                  <w:vAlign w:val="center"/>
                </w:tcPr>
                <w:p w:rsidR="00882AC3" w:rsidRPr="00710D26" w:rsidRDefault="00882AC3" w:rsidP="00882AC3">
                  <w:pPr>
                    <w:snapToGrid w:val="0"/>
                    <w:rPr>
                      <w:rFonts w:ascii="Arial" w:hAnsi="Arial" w:cs="Arial"/>
                      <w:i/>
                      <w:sz w:val="14"/>
                      <w:szCs w:val="14"/>
                    </w:rPr>
                  </w:pPr>
                </w:p>
              </w:tc>
              <w:tc>
                <w:tcPr>
                  <w:tcW w:w="1446" w:type="pct"/>
                  <w:gridSpan w:val="3"/>
                  <w:shd w:val="clear" w:color="auto" w:fill="auto"/>
                  <w:vAlign w:val="center"/>
                </w:tcPr>
                <w:p w:rsidR="00882AC3" w:rsidRPr="00710D26" w:rsidRDefault="00882AC3" w:rsidP="00882AC3">
                  <w:pPr>
                    <w:snapToGrid w:val="0"/>
                    <w:jc w:val="center"/>
                    <w:rPr>
                      <w:rFonts w:ascii="Arial" w:hAnsi="Arial" w:cs="Arial"/>
                      <w:b/>
                      <w:bCs/>
                      <w:sz w:val="14"/>
                      <w:szCs w:val="14"/>
                    </w:rPr>
                  </w:pPr>
                  <w:r w:rsidRPr="00710D26">
                    <w:rPr>
                      <w:rFonts w:ascii="Arial" w:hAnsi="Arial" w:cs="Arial"/>
                      <w:b/>
                      <w:bCs/>
                      <w:sz w:val="14"/>
                      <w:szCs w:val="14"/>
                    </w:rPr>
                    <w:t>DL: Low, UL: Low</w:t>
                  </w:r>
                </w:p>
              </w:tc>
              <w:tc>
                <w:tcPr>
                  <w:tcW w:w="1447" w:type="pct"/>
                  <w:gridSpan w:val="3"/>
                  <w:shd w:val="clear" w:color="auto" w:fill="auto"/>
                  <w:vAlign w:val="center"/>
                </w:tcPr>
                <w:p w:rsidR="00882AC3" w:rsidRPr="00710D26" w:rsidRDefault="00882AC3" w:rsidP="00882AC3">
                  <w:pPr>
                    <w:snapToGrid w:val="0"/>
                    <w:jc w:val="center"/>
                    <w:rPr>
                      <w:rFonts w:ascii="Arial" w:hAnsi="Arial" w:cs="Arial"/>
                      <w:b/>
                      <w:bCs/>
                      <w:sz w:val="14"/>
                      <w:szCs w:val="14"/>
                    </w:rPr>
                  </w:pPr>
                  <w:r w:rsidRPr="00710D26">
                    <w:rPr>
                      <w:rFonts w:ascii="Arial" w:hAnsi="Arial" w:cs="Arial"/>
                      <w:b/>
                      <w:bCs/>
                      <w:sz w:val="14"/>
                      <w:szCs w:val="14"/>
                    </w:rPr>
                    <w:t>DL: Medium, UL: Medium</w:t>
                  </w:r>
                </w:p>
              </w:tc>
              <w:tc>
                <w:tcPr>
                  <w:tcW w:w="1383" w:type="pct"/>
                  <w:gridSpan w:val="3"/>
                  <w:shd w:val="clear" w:color="auto" w:fill="auto"/>
                  <w:vAlign w:val="center"/>
                </w:tcPr>
                <w:p w:rsidR="00882AC3" w:rsidRPr="00710D26" w:rsidRDefault="00882AC3" w:rsidP="00882AC3">
                  <w:pPr>
                    <w:snapToGrid w:val="0"/>
                    <w:jc w:val="center"/>
                    <w:rPr>
                      <w:rFonts w:ascii="Arial" w:hAnsi="Arial" w:cs="Arial"/>
                      <w:b/>
                      <w:sz w:val="14"/>
                      <w:szCs w:val="14"/>
                    </w:rPr>
                  </w:pPr>
                  <w:r w:rsidRPr="00710D26">
                    <w:rPr>
                      <w:rFonts w:ascii="Arial" w:hAnsi="Arial" w:cs="Arial"/>
                      <w:b/>
                      <w:bCs/>
                      <w:sz w:val="14"/>
                      <w:szCs w:val="14"/>
                    </w:rPr>
                    <w:t>DL: High, UL: High</w:t>
                  </w:r>
                </w:p>
              </w:tc>
            </w:tr>
            <w:tr w:rsidR="00882AC3" w:rsidRPr="00710D26" w:rsidTr="00786810">
              <w:tc>
                <w:tcPr>
                  <w:tcW w:w="723" w:type="pct"/>
                  <w:gridSpan w:val="2"/>
                  <w:shd w:val="clear" w:color="auto" w:fill="auto"/>
                  <w:vAlign w:val="center"/>
                </w:tcPr>
                <w:p w:rsidR="00882AC3" w:rsidRPr="00710D26" w:rsidRDefault="00882AC3" w:rsidP="00882AC3">
                  <w:pPr>
                    <w:snapToGrid w:val="0"/>
                    <w:rPr>
                      <w:rFonts w:ascii="Arial" w:hAnsi="Arial" w:cs="Arial"/>
                      <w:b/>
                      <w:sz w:val="14"/>
                      <w:szCs w:val="14"/>
                    </w:rPr>
                  </w:pPr>
                </w:p>
              </w:tc>
              <w:tc>
                <w:tcPr>
                  <w:tcW w:w="481"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TDD</w:t>
                  </w:r>
                </w:p>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(Coexisting with TDD in Operator#2)</w:t>
                  </w:r>
                </w:p>
              </w:tc>
              <w:tc>
                <w:tcPr>
                  <w:tcW w:w="482"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TDD</w:t>
                  </w:r>
                </w:p>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(Coexisting with SBFD in Operator#2)</w:t>
                  </w:r>
                </w:p>
              </w:tc>
              <w:tc>
                <w:tcPr>
                  <w:tcW w:w="484" w:type="pct"/>
                  <w:shd w:val="clear" w:color="auto" w:fill="auto"/>
                  <w:vAlign w:val="center"/>
                </w:tcPr>
                <w:p w:rsidR="00882AC3" w:rsidRPr="00710D26" w:rsidRDefault="00882AC3" w:rsidP="00882AC3">
                  <w:pPr>
                    <w:snapToGrid w:val="0"/>
                    <w:jc w:val="center"/>
                    <w:rPr>
                      <w:rFonts w:ascii="Arial" w:hAnsi="Arial" w:cs="Arial"/>
                      <w:sz w:val="14"/>
                      <w:szCs w:val="14"/>
                    </w:rPr>
                  </w:pPr>
                  <w:r w:rsidRPr="00710D26">
                    <w:rPr>
                      <w:rFonts w:ascii="Arial" w:hAnsi="Arial" w:cs="Arial"/>
                      <w:color w:val="FF0000"/>
                      <w:sz w:val="14"/>
                      <w:szCs w:val="14"/>
                    </w:rPr>
                    <w:t>Comparison of two TDD</w:t>
                  </w:r>
                </w:p>
              </w:tc>
              <w:tc>
                <w:tcPr>
                  <w:tcW w:w="482"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TDD</w:t>
                  </w:r>
                </w:p>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(Coexisting with TDD in Operator#2)</w:t>
                  </w:r>
                </w:p>
              </w:tc>
              <w:tc>
                <w:tcPr>
                  <w:tcW w:w="482"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TDD</w:t>
                  </w:r>
                </w:p>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(Coexisting with SBFD in Operator#2)</w:t>
                  </w:r>
                </w:p>
              </w:tc>
              <w:tc>
                <w:tcPr>
                  <w:tcW w:w="484" w:type="pct"/>
                  <w:shd w:val="clear" w:color="auto" w:fill="auto"/>
                  <w:vAlign w:val="center"/>
                </w:tcPr>
                <w:p w:rsidR="00882AC3" w:rsidRPr="00710D26" w:rsidRDefault="00882AC3" w:rsidP="00882AC3">
                  <w:pPr>
                    <w:snapToGrid w:val="0"/>
                    <w:jc w:val="center"/>
                    <w:rPr>
                      <w:rFonts w:ascii="Arial" w:hAnsi="Arial" w:cs="Arial"/>
                      <w:sz w:val="14"/>
                      <w:szCs w:val="14"/>
                    </w:rPr>
                  </w:pPr>
                  <w:r w:rsidRPr="00710D26">
                    <w:rPr>
                      <w:rFonts w:ascii="Arial" w:hAnsi="Arial" w:cs="Arial"/>
                      <w:color w:val="FF0000"/>
                      <w:sz w:val="14"/>
                      <w:szCs w:val="14"/>
                    </w:rPr>
                    <w:t>Comparison of two TDD</w:t>
                  </w:r>
                </w:p>
              </w:tc>
              <w:tc>
                <w:tcPr>
                  <w:tcW w:w="450"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TDD</w:t>
                  </w:r>
                </w:p>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(Coexisting with TDD in Operator#2)</w:t>
                  </w:r>
                </w:p>
              </w:tc>
              <w:tc>
                <w:tcPr>
                  <w:tcW w:w="450"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TDD</w:t>
                  </w:r>
                </w:p>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(Coexisting with SBFD in Operator#2)</w:t>
                  </w:r>
                </w:p>
              </w:tc>
              <w:tc>
                <w:tcPr>
                  <w:tcW w:w="484" w:type="pct"/>
                  <w:shd w:val="clear" w:color="auto" w:fill="auto"/>
                  <w:vAlign w:val="center"/>
                </w:tcPr>
                <w:p w:rsidR="00882AC3" w:rsidRPr="00710D26" w:rsidRDefault="00882AC3" w:rsidP="00882AC3">
                  <w:pPr>
                    <w:snapToGrid w:val="0"/>
                    <w:jc w:val="center"/>
                    <w:rPr>
                      <w:rFonts w:ascii="Arial" w:hAnsi="Arial" w:cs="Arial"/>
                      <w:sz w:val="14"/>
                      <w:szCs w:val="14"/>
                    </w:rPr>
                  </w:pPr>
                  <w:r w:rsidRPr="00710D26">
                    <w:rPr>
                      <w:rFonts w:ascii="Arial" w:hAnsi="Arial" w:cs="Arial"/>
                      <w:color w:val="FF0000"/>
                      <w:sz w:val="14"/>
                      <w:szCs w:val="14"/>
                    </w:rPr>
                    <w:t>Comparison of two TDD</w:t>
                  </w:r>
                </w:p>
              </w:tc>
            </w:tr>
            <w:tr w:rsidR="00882AC3" w:rsidRPr="001B6E59" w:rsidTr="00786810">
              <w:tc>
                <w:tcPr>
                  <w:tcW w:w="417" w:type="pct"/>
                  <w:vMerge w:val="restart"/>
                  <w:shd w:val="clear" w:color="auto" w:fill="auto"/>
                  <w:vAlign w:val="center"/>
                </w:tcPr>
                <w:p w:rsidR="00882AC3" w:rsidRPr="00710D26" w:rsidRDefault="00882AC3" w:rsidP="00882AC3">
                  <w:pPr>
                    <w:snapToGrid w:val="0"/>
                    <w:rPr>
                      <w:rFonts w:ascii="Arial" w:hAnsi="Arial" w:cs="Arial"/>
                      <w:sz w:val="14"/>
                      <w:szCs w:val="14"/>
                    </w:rPr>
                  </w:pPr>
                  <w:r w:rsidRPr="00710D26">
                    <w:rPr>
                      <w:rFonts w:ascii="Arial" w:hAnsi="Arial" w:cs="Arial"/>
                      <w:b/>
                      <w:sz w:val="14"/>
                      <w:szCs w:val="14"/>
                    </w:rPr>
                    <w:t>DL Average-UPT (Mbps)</w:t>
                  </w: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Mean</w:t>
                  </w:r>
                </w:p>
              </w:tc>
              <w:tc>
                <w:tcPr>
                  <w:tcW w:w="481" w:type="pct"/>
                  <w:shd w:val="clear" w:color="auto" w:fill="auto"/>
                  <w:vAlign w:val="center"/>
                </w:tcPr>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Source1: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Source2: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Source3: xx</w:t>
                  </w:r>
                </w:p>
              </w:tc>
              <w:tc>
                <w:tcPr>
                  <w:tcW w:w="482" w:type="pct"/>
                  <w:shd w:val="clear" w:color="auto" w:fill="auto"/>
                  <w:vAlign w:val="center"/>
                </w:tcPr>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Source1: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Source2: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Source3: xx</w:t>
                  </w:r>
                </w:p>
              </w:tc>
              <w:tc>
                <w:tcPr>
                  <w:tcW w:w="484" w:type="pct"/>
                  <w:shd w:val="clear" w:color="auto" w:fill="auto"/>
                  <w:vAlign w:val="center"/>
                </w:tcPr>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Source1: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Source2: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Source3: xx%</w:t>
                  </w:r>
                </w:p>
              </w:tc>
              <w:tc>
                <w:tcPr>
                  <w:tcW w:w="482"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82"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84"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50"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50"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84" w:type="pct"/>
                  <w:shd w:val="clear" w:color="auto" w:fill="auto"/>
                  <w:vAlign w:val="center"/>
                </w:tcPr>
                <w:p w:rsidR="00882AC3" w:rsidRPr="00710D26" w:rsidRDefault="00882AC3" w:rsidP="00882AC3">
                  <w:pPr>
                    <w:snapToGrid w:val="0"/>
                    <w:rPr>
                      <w:rFonts w:ascii="Arial" w:hAnsi="Arial" w:cs="Arial"/>
                      <w:sz w:val="14"/>
                      <w:szCs w:val="14"/>
                      <w:lang w:val="fr-FR"/>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lang w:val="fr-FR"/>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50%</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val="restart"/>
                  <w:shd w:val="clear" w:color="auto" w:fill="auto"/>
                  <w:vAlign w:val="center"/>
                </w:tcPr>
                <w:p w:rsidR="00882AC3" w:rsidRPr="00710D26" w:rsidRDefault="00882AC3" w:rsidP="00882AC3">
                  <w:pPr>
                    <w:snapToGrid w:val="0"/>
                    <w:rPr>
                      <w:rFonts w:ascii="Arial" w:hAnsi="Arial" w:cs="Arial"/>
                      <w:sz w:val="14"/>
                      <w:szCs w:val="14"/>
                    </w:rPr>
                  </w:pPr>
                  <w:r w:rsidRPr="00710D26">
                    <w:rPr>
                      <w:rFonts w:ascii="Arial" w:hAnsi="Arial" w:cs="Arial"/>
                      <w:b/>
                      <w:sz w:val="14"/>
                      <w:szCs w:val="14"/>
                    </w:rPr>
                    <w:t>UL Average-UPT (Mbps)</w:t>
                  </w: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Mean</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50%</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val="restar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DL Packet-Latency CDF (ms)</w:t>
                  </w: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Mean</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50%</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val="restar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UL Packet-Latency CDF (ms)</w:t>
                  </w: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Mean</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50%</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val="restar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DL RU (%)</w:t>
                  </w: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Type-1</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Type-2</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val="restar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UL RU (%)</w:t>
                  </w: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 xml:space="preserve">Type-1 </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 xml:space="preserve">Type-2 </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5000" w:type="pct"/>
                  <w:gridSpan w:val="11"/>
                  <w:shd w:val="clear" w:color="auto" w:fill="auto"/>
                  <w:vAlign w:val="center"/>
                </w:tcPr>
                <w:p w:rsidR="00882AC3" w:rsidRPr="00710D26" w:rsidRDefault="00882AC3" w:rsidP="00882AC3">
                  <w:pPr>
                    <w:snapToGrid w:val="0"/>
                    <w:jc w:val="center"/>
                    <w:rPr>
                      <w:rFonts w:ascii="Arial" w:hAnsi="Arial" w:cs="Arial"/>
                      <w:b/>
                      <w:bCs/>
                      <w:sz w:val="14"/>
                      <w:szCs w:val="14"/>
                    </w:rPr>
                  </w:pPr>
                  <w:r w:rsidRPr="00710D26">
                    <w:rPr>
                      <w:rFonts w:ascii="Arial" w:hAnsi="Arial" w:cs="Arial"/>
                      <w:b/>
                      <w:bCs/>
                      <w:color w:val="FF0000"/>
                      <w:sz w:val="14"/>
                      <w:szCs w:val="14"/>
                    </w:rPr>
                    <w:t>Operator#2 (Static TDD is used for baseline TDD network and SBFD is used for SBFD Deployment Case 4)</w:t>
                  </w:r>
                </w:p>
              </w:tc>
            </w:tr>
            <w:tr w:rsidR="00882AC3" w:rsidRPr="00710D26" w:rsidTr="00786810">
              <w:tc>
                <w:tcPr>
                  <w:tcW w:w="723" w:type="pct"/>
                  <w:gridSpan w:val="2"/>
                  <w:shd w:val="clear" w:color="auto" w:fill="auto"/>
                  <w:vAlign w:val="center"/>
                </w:tcPr>
                <w:p w:rsidR="00882AC3" w:rsidRPr="00710D26" w:rsidRDefault="00882AC3" w:rsidP="00882AC3">
                  <w:pPr>
                    <w:snapToGrid w:val="0"/>
                    <w:rPr>
                      <w:rFonts w:ascii="Arial" w:hAnsi="Arial" w:cs="Arial"/>
                      <w:i/>
                      <w:sz w:val="14"/>
                      <w:szCs w:val="14"/>
                    </w:rPr>
                  </w:pPr>
                </w:p>
              </w:tc>
              <w:tc>
                <w:tcPr>
                  <w:tcW w:w="4277" w:type="pct"/>
                  <w:gridSpan w:val="9"/>
                  <w:shd w:val="clear" w:color="auto" w:fill="auto"/>
                  <w:vAlign w:val="center"/>
                </w:tcPr>
                <w:p w:rsidR="00882AC3" w:rsidRPr="00710D26" w:rsidRDefault="00882AC3" w:rsidP="00882AC3">
                  <w:pPr>
                    <w:snapToGrid w:val="0"/>
                    <w:jc w:val="center"/>
                    <w:rPr>
                      <w:rFonts w:ascii="Arial" w:hAnsi="Arial" w:cs="Arial"/>
                      <w:b/>
                      <w:sz w:val="14"/>
                      <w:szCs w:val="14"/>
                    </w:rPr>
                  </w:pPr>
                  <w:r w:rsidRPr="00710D26">
                    <w:rPr>
                      <w:rFonts w:ascii="Arial" w:hAnsi="Arial" w:cs="Arial"/>
                      <w:b/>
                      <w:bCs/>
                      <w:sz w:val="14"/>
                      <w:szCs w:val="14"/>
                    </w:rPr>
                    <w:t xml:space="preserve">DL and UL arrival rate for baseline static TDD (Type-2 RU: </w:t>
                  </w:r>
                  <w:r w:rsidRPr="00710D26">
                    <w:rPr>
                      <w:rFonts w:ascii="Arial" w:hAnsi="Arial" w:cs="Arial"/>
                      <w:b/>
                      <w:bCs/>
                      <w:iCs/>
                      <w:sz w:val="14"/>
                      <w:szCs w:val="14"/>
                    </w:rPr>
                    <w:t xml:space="preserve">&lt;10%, 20%-40% and </w:t>
                  </w:r>
                  <w:r w:rsidRPr="00710D26">
                    <w:rPr>
                      <w:rFonts w:ascii="Arial" w:hAnsi="Arial" w:cs="Arial"/>
                      <w:b/>
                      <w:bCs/>
                      <w:sz w:val="14"/>
                      <w:szCs w:val="14"/>
                    </w:rPr>
                    <w:t>≥</w:t>
                  </w:r>
                  <w:r w:rsidRPr="00710D26">
                    <w:rPr>
                      <w:rFonts w:ascii="Arial" w:hAnsi="Arial" w:cs="Arial"/>
                      <w:b/>
                      <w:bCs/>
                      <w:iCs/>
                      <w:sz w:val="14"/>
                      <w:szCs w:val="14"/>
                    </w:rPr>
                    <w:t>50%</w:t>
                  </w:r>
                  <w:r w:rsidRPr="00710D26">
                    <w:rPr>
                      <w:rFonts w:ascii="Arial" w:hAnsi="Arial" w:cs="Arial"/>
                      <w:b/>
                      <w:bCs/>
                      <w:sz w:val="14"/>
                      <w:szCs w:val="14"/>
                    </w:rPr>
                    <w:t>)</w:t>
                  </w:r>
                </w:p>
              </w:tc>
            </w:tr>
            <w:tr w:rsidR="00882AC3" w:rsidRPr="00710D26" w:rsidTr="00786810">
              <w:tc>
                <w:tcPr>
                  <w:tcW w:w="723" w:type="pct"/>
                  <w:gridSpan w:val="2"/>
                  <w:shd w:val="clear" w:color="auto" w:fill="auto"/>
                  <w:vAlign w:val="center"/>
                </w:tcPr>
                <w:p w:rsidR="00882AC3" w:rsidRPr="00710D26" w:rsidRDefault="00882AC3" w:rsidP="00882AC3">
                  <w:pPr>
                    <w:snapToGrid w:val="0"/>
                    <w:rPr>
                      <w:rFonts w:ascii="Arial" w:hAnsi="Arial" w:cs="Arial"/>
                      <w:i/>
                      <w:sz w:val="14"/>
                      <w:szCs w:val="14"/>
                    </w:rPr>
                  </w:pPr>
                </w:p>
              </w:tc>
              <w:tc>
                <w:tcPr>
                  <w:tcW w:w="1446" w:type="pct"/>
                  <w:gridSpan w:val="3"/>
                  <w:shd w:val="clear" w:color="auto" w:fill="auto"/>
                  <w:vAlign w:val="center"/>
                </w:tcPr>
                <w:p w:rsidR="00882AC3" w:rsidRPr="00710D26" w:rsidRDefault="00882AC3" w:rsidP="00882AC3">
                  <w:pPr>
                    <w:snapToGrid w:val="0"/>
                    <w:jc w:val="center"/>
                    <w:rPr>
                      <w:rFonts w:ascii="Arial" w:hAnsi="Arial" w:cs="Arial"/>
                      <w:b/>
                      <w:bCs/>
                      <w:sz w:val="14"/>
                      <w:szCs w:val="14"/>
                    </w:rPr>
                  </w:pPr>
                  <w:r w:rsidRPr="00710D26">
                    <w:rPr>
                      <w:rFonts w:ascii="Arial" w:hAnsi="Arial" w:cs="Arial"/>
                      <w:b/>
                      <w:bCs/>
                      <w:sz w:val="14"/>
                      <w:szCs w:val="14"/>
                    </w:rPr>
                    <w:t>DL: Low, UL: Low</w:t>
                  </w:r>
                </w:p>
              </w:tc>
              <w:tc>
                <w:tcPr>
                  <w:tcW w:w="1447" w:type="pct"/>
                  <w:gridSpan w:val="3"/>
                  <w:shd w:val="clear" w:color="auto" w:fill="auto"/>
                  <w:vAlign w:val="center"/>
                </w:tcPr>
                <w:p w:rsidR="00882AC3" w:rsidRPr="00710D26" w:rsidRDefault="00882AC3" w:rsidP="00882AC3">
                  <w:pPr>
                    <w:snapToGrid w:val="0"/>
                    <w:jc w:val="center"/>
                    <w:rPr>
                      <w:rFonts w:ascii="Arial" w:hAnsi="Arial" w:cs="Arial"/>
                      <w:b/>
                      <w:bCs/>
                      <w:sz w:val="14"/>
                      <w:szCs w:val="14"/>
                    </w:rPr>
                  </w:pPr>
                  <w:r w:rsidRPr="00710D26">
                    <w:rPr>
                      <w:rFonts w:ascii="Arial" w:hAnsi="Arial" w:cs="Arial"/>
                      <w:b/>
                      <w:bCs/>
                      <w:sz w:val="14"/>
                      <w:szCs w:val="14"/>
                    </w:rPr>
                    <w:t>DL: Medium, UL: Medium</w:t>
                  </w:r>
                </w:p>
              </w:tc>
              <w:tc>
                <w:tcPr>
                  <w:tcW w:w="1383" w:type="pct"/>
                  <w:gridSpan w:val="3"/>
                  <w:shd w:val="clear" w:color="auto" w:fill="auto"/>
                  <w:vAlign w:val="center"/>
                </w:tcPr>
                <w:p w:rsidR="00882AC3" w:rsidRPr="00710D26" w:rsidRDefault="00882AC3" w:rsidP="00882AC3">
                  <w:pPr>
                    <w:snapToGrid w:val="0"/>
                    <w:jc w:val="center"/>
                    <w:rPr>
                      <w:rFonts w:ascii="Arial" w:hAnsi="Arial" w:cs="Arial"/>
                      <w:b/>
                      <w:sz w:val="14"/>
                      <w:szCs w:val="14"/>
                    </w:rPr>
                  </w:pPr>
                  <w:r w:rsidRPr="00710D26">
                    <w:rPr>
                      <w:rFonts w:ascii="Arial" w:hAnsi="Arial" w:cs="Arial"/>
                      <w:b/>
                      <w:bCs/>
                      <w:sz w:val="14"/>
                      <w:szCs w:val="14"/>
                    </w:rPr>
                    <w:t>DL: High, UL: High</w:t>
                  </w:r>
                </w:p>
              </w:tc>
            </w:tr>
            <w:tr w:rsidR="00882AC3" w:rsidRPr="00710D26" w:rsidTr="00786810">
              <w:tc>
                <w:tcPr>
                  <w:tcW w:w="723" w:type="pct"/>
                  <w:gridSpan w:val="2"/>
                  <w:shd w:val="clear" w:color="auto" w:fill="auto"/>
                  <w:vAlign w:val="center"/>
                </w:tcPr>
                <w:p w:rsidR="00882AC3" w:rsidRPr="00710D26" w:rsidRDefault="00882AC3" w:rsidP="00882AC3">
                  <w:pPr>
                    <w:snapToGrid w:val="0"/>
                    <w:rPr>
                      <w:rFonts w:ascii="Arial" w:hAnsi="Arial" w:cs="Arial"/>
                      <w:b/>
                      <w:sz w:val="14"/>
                      <w:szCs w:val="14"/>
                    </w:rPr>
                  </w:pPr>
                </w:p>
              </w:tc>
              <w:tc>
                <w:tcPr>
                  <w:tcW w:w="481" w:type="pct"/>
                  <w:shd w:val="clear" w:color="auto" w:fill="auto"/>
                  <w:vAlign w:val="center"/>
                </w:tcPr>
                <w:p w:rsidR="00882AC3" w:rsidRPr="00710D26" w:rsidRDefault="00882AC3" w:rsidP="00882AC3">
                  <w:pPr>
                    <w:snapToGrid w:val="0"/>
                    <w:jc w:val="center"/>
                    <w:rPr>
                      <w:rFonts w:ascii="Arial" w:hAnsi="Arial" w:cs="Arial"/>
                      <w:sz w:val="14"/>
                      <w:szCs w:val="14"/>
                    </w:rPr>
                  </w:pPr>
                  <w:r w:rsidRPr="00710D26">
                    <w:rPr>
                      <w:rFonts w:ascii="Arial" w:hAnsi="Arial" w:cs="Arial"/>
                      <w:sz w:val="14"/>
                      <w:szCs w:val="14"/>
                    </w:rPr>
                    <w:t>TDD</w:t>
                  </w:r>
                </w:p>
              </w:tc>
              <w:tc>
                <w:tcPr>
                  <w:tcW w:w="482" w:type="pct"/>
                  <w:shd w:val="clear" w:color="auto" w:fill="auto"/>
                  <w:vAlign w:val="center"/>
                </w:tcPr>
                <w:p w:rsidR="00882AC3" w:rsidRPr="00710D26" w:rsidRDefault="00882AC3" w:rsidP="00882AC3">
                  <w:pPr>
                    <w:snapToGrid w:val="0"/>
                    <w:jc w:val="center"/>
                    <w:rPr>
                      <w:rFonts w:ascii="Arial" w:hAnsi="Arial" w:cs="Arial"/>
                      <w:sz w:val="14"/>
                      <w:szCs w:val="14"/>
                    </w:rPr>
                  </w:pPr>
                  <w:r w:rsidRPr="00710D26">
                    <w:rPr>
                      <w:rFonts w:ascii="Arial" w:hAnsi="Arial" w:cs="Arial"/>
                      <w:sz w:val="14"/>
                      <w:szCs w:val="14"/>
                    </w:rPr>
                    <w:t>SBFD</w:t>
                  </w:r>
                </w:p>
              </w:tc>
              <w:tc>
                <w:tcPr>
                  <w:tcW w:w="484" w:type="pct"/>
                  <w:shd w:val="clear" w:color="auto" w:fill="auto"/>
                  <w:vAlign w:val="center"/>
                </w:tcPr>
                <w:p w:rsidR="00882AC3" w:rsidRPr="00710D26" w:rsidRDefault="00882AC3" w:rsidP="00882AC3">
                  <w:pPr>
                    <w:snapToGrid w:val="0"/>
                    <w:jc w:val="center"/>
                    <w:rPr>
                      <w:rFonts w:ascii="Arial" w:hAnsi="Arial" w:cs="Arial"/>
                      <w:sz w:val="14"/>
                      <w:szCs w:val="14"/>
                    </w:rPr>
                  </w:pPr>
                  <w:r w:rsidRPr="00710D26">
                    <w:rPr>
                      <w:rFonts w:ascii="Arial" w:hAnsi="Arial" w:cs="Arial"/>
                      <w:sz w:val="14"/>
                      <w:szCs w:val="14"/>
                    </w:rPr>
                    <w:t>Gain /Increase</w:t>
                  </w:r>
                </w:p>
              </w:tc>
              <w:tc>
                <w:tcPr>
                  <w:tcW w:w="482" w:type="pct"/>
                  <w:shd w:val="clear" w:color="auto" w:fill="auto"/>
                  <w:vAlign w:val="center"/>
                </w:tcPr>
                <w:p w:rsidR="00882AC3" w:rsidRPr="00710D26" w:rsidRDefault="00882AC3" w:rsidP="00882AC3">
                  <w:pPr>
                    <w:snapToGrid w:val="0"/>
                    <w:jc w:val="center"/>
                    <w:rPr>
                      <w:rFonts w:ascii="Arial" w:hAnsi="Arial" w:cs="Arial"/>
                      <w:sz w:val="14"/>
                      <w:szCs w:val="14"/>
                    </w:rPr>
                  </w:pPr>
                  <w:r w:rsidRPr="00710D26">
                    <w:rPr>
                      <w:rFonts w:ascii="Arial" w:hAnsi="Arial" w:cs="Arial"/>
                      <w:sz w:val="14"/>
                      <w:szCs w:val="14"/>
                    </w:rPr>
                    <w:t>TDD</w:t>
                  </w:r>
                </w:p>
              </w:tc>
              <w:tc>
                <w:tcPr>
                  <w:tcW w:w="482" w:type="pct"/>
                  <w:shd w:val="clear" w:color="auto" w:fill="auto"/>
                  <w:vAlign w:val="center"/>
                </w:tcPr>
                <w:p w:rsidR="00882AC3" w:rsidRPr="00710D26" w:rsidRDefault="00882AC3" w:rsidP="00882AC3">
                  <w:pPr>
                    <w:snapToGrid w:val="0"/>
                    <w:jc w:val="center"/>
                    <w:rPr>
                      <w:rFonts w:ascii="Arial" w:hAnsi="Arial" w:cs="Arial"/>
                      <w:sz w:val="14"/>
                      <w:szCs w:val="14"/>
                    </w:rPr>
                  </w:pPr>
                  <w:r w:rsidRPr="00710D26">
                    <w:rPr>
                      <w:rFonts w:ascii="Arial" w:hAnsi="Arial" w:cs="Arial"/>
                      <w:sz w:val="14"/>
                      <w:szCs w:val="14"/>
                    </w:rPr>
                    <w:t>SBFD</w:t>
                  </w:r>
                </w:p>
              </w:tc>
              <w:tc>
                <w:tcPr>
                  <w:tcW w:w="484" w:type="pct"/>
                  <w:shd w:val="clear" w:color="auto" w:fill="auto"/>
                  <w:vAlign w:val="center"/>
                </w:tcPr>
                <w:p w:rsidR="00882AC3" w:rsidRPr="00710D26" w:rsidRDefault="00882AC3" w:rsidP="00882AC3">
                  <w:pPr>
                    <w:snapToGrid w:val="0"/>
                    <w:jc w:val="center"/>
                    <w:rPr>
                      <w:rFonts w:ascii="Arial" w:hAnsi="Arial" w:cs="Arial"/>
                      <w:sz w:val="14"/>
                      <w:szCs w:val="14"/>
                    </w:rPr>
                  </w:pPr>
                  <w:r w:rsidRPr="00710D26">
                    <w:rPr>
                      <w:rFonts w:ascii="Arial" w:hAnsi="Arial" w:cs="Arial"/>
                      <w:sz w:val="14"/>
                      <w:szCs w:val="14"/>
                    </w:rPr>
                    <w:t>Gain /Increase</w:t>
                  </w:r>
                </w:p>
              </w:tc>
              <w:tc>
                <w:tcPr>
                  <w:tcW w:w="450" w:type="pct"/>
                  <w:shd w:val="clear" w:color="auto" w:fill="auto"/>
                  <w:vAlign w:val="center"/>
                </w:tcPr>
                <w:p w:rsidR="00882AC3" w:rsidRPr="00710D26" w:rsidRDefault="00882AC3" w:rsidP="00882AC3">
                  <w:pPr>
                    <w:snapToGrid w:val="0"/>
                    <w:jc w:val="center"/>
                    <w:rPr>
                      <w:rFonts w:ascii="Arial" w:hAnsi="Arial" w:cs="Arial"/>
                      <w:sz w:val="14"/>
                      <w:szCs w:val="14"/>
                    </w:rPr>
                  </w:pPr>
                  <w:r w:rsidRPr="00710D26">
                    <w:rPr>
                      <w:rFonts w:ascii="Arial" w:hAnsi="Arial" w:cs="Arial"/>
                      <w:sz w:val="14"/>
                      <w:szCs w:val="14"/>
                    </w:rPr>
                    <w:t>TDD</w:t>
                  </w:r>
                </w:p>
              </w:tc>
              <w:tc>
                <w:tcPr>
                  <w:tcW w:w="450" w:type="pct"/>
                  <w:shd w:val="clear" w:color="auto" w:fill="auto"/>
                  <w:vAlign w:val="center"/>
                </w:tcPr>
                <w:p w:rsidR="00882AC3" w:rsidRPr="00710D26" w:rsidRDefault="00882AC3" w:rsidP="00882AC3">
                  <w:pPr>
                    <w:snapToGrid w:val="0"/>
                    <w:jc w:val="center"/>
                    <w:rPr>
                      <w:rFonts w:ascii="Arial" w:hAnsi="Arial" w:cs="Arial"/>
                      <w:sz w:val="14"/>
                      <w:szCs w:val="14"/>
                    </w:rPr>
                  </w:pPr>
                  <w:r w:rsidRPr="00710D26">
                    <w:rPr>
                      <w:rFonts w:ascii="Arial" w:hAnsi="Arial" w:cs="Arial"/>
                      <w:sz w:val="14"/>
                      <w:szCs w:val="14"/>
                    </w:rPr>
                    <w:t>SBFD</w:t>
                  </w:r>
                </w:p>
              </w:tc>
              <w:tc>
                <w:tcPr>
                  <w:tcW w:w="484" w:type="pct"/>
                  <w:shd w:val="clear" w:color="auto" w:fill="auto"/>
                  <w:vAlign w:val="center"/>
                </w:tcPr>
                <w:p w:rsidR="00882AC3" w:rsidRPr="00710D26" w:rsidRDefault="00882AC3" w:rsidP="00882AC3">
                  <w:pPr>
                    <w:snapToGrid w:val="0"/>
                    <w:jc w:val="center"/>
                    <w:rPr>
                      <w:rFonts w:ascii="Arial" w:hAnsi="Arial" w:cs="Arial"/>
                      <w:sz w:val="14"/>
                      <w:szCs w:val="14"/>
                    </w:rPr>
                  </w:pPr>
                  <w:r w:rsidRPr="00710D26">
                    <w:rPr>
                      <w:rFonts w:ascii="Arial" w:hAnsi="Arial" w:cs="Arial"/>
                      <w:sz w:val="14"/>
                      <w:szCs w:val="14"/>
                    </w:rPr>
                    <w:t>Gain /Increase</w:t>
                  </w:r>
                </w:p>
              </w:tc>
            </w:tr>
            <w:tr w:rsidR="00882AC3" w:rsidRPr="001B6E59" w:rsidTr="00786810">
              <w:tc>
                <w:tcPr>
                  <w:tcW w:w="417" w:type="pct"/>
                  <w:vMerge w:val="restart"/>
                  <w:shd w:val="clear" w:color="auto" w:fill="auto"/>
                  <w:vAlign w:val="center"/>
                </w:tcPr>
                <w:p w:rsidR="00882AC3" w:rsidRPr="00710D26" w:rsidRDefault="00882AC3" w:rsidP="00882AC3">
                  <w:pPr>
                    <w:snapToGrid w:val="0"/>
                    <w:rPr>
                      <w:rFonts w:ascii="Arial" w:hAnsi="Arial" w:cs="Arial"/>
                      <w:sz w:val="14"/>
                      <w:szCs w:val="14"/>
                    </w:rPr>
                  </w:pPr>
                  <w:r w:rsidRPr="00710D26">
                    <w:rPr>
                      <w:rFonts w:ascii="Arial" w:hAnsi="Arial" w:cs="Arial"/>
                      <w:b/>
                      <w:sz w:val="14"/>
                      <w:szCs w:val="14"/>
                    </w:rPr>
                    <w:t>DL Average-UPT (Mbps)</w:t>
                  </w: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Mean</w:t>
                  </w:r>
                </w:p>
              </w:tc>
              <w:tc>
                <w:tcPr>
                  <w:tcW w:w="481" w:type="pct"/>
                  <w:shd w:val="clear" w:color="auto" w:fill="auto"/>
                  <w:vAlign w:val="center"/>
                </w:tcPr>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Source1: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Source2: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Source3: xx</w:t>
                  </w:r>
                </w:p>
              </w:tc>
              <w:tc>
                <w:tcPr>
                  <w:tcW w:w="482" w:type="pct"/>
                  <w:shd w:val="clear" w:color="auto" w:fill="auto"/>
                  <w:vAlign w:val="center"/>
                </w:tcPr>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Source1: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Source2: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Source3: xx</w:t>
                  </w:r>
                </w:p>
              </w:tc>
              <w:tc>
                <w:tcPr>
                  <w:tcW w:w="484" w:type="pct"/>
                  <w:shd w:val="clear" w:color="auto" w:fill="auto"/>
                  <w:vAlign w:val="center"/>
                </w:tcPr>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Source1: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Source2: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Source3: xx%</w:t>
                  </w:r>
                </w:p>
              </w:tc>
              <w:tc>
                <w:tcPr>
                  <w:tcW w:w="482"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82"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84"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50"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50"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84" w:type="pct"/>
                  <w:shd w:val="clear" w:color="auto" w:fill="auto"/>
                  <w:vAlign w:val="center"/>
                </w:tcPr>
                <w:p w:rsidR="00882AC3" w:rsidRPr="00710D26" w:rsidRDefault="00882AC3" w:rsidP="00882AC3">
                  <w:pPr>
                    <w:snapToGrid w:val="0"/>
                    <w:rPr>
                      <w:rFonts w:ascii="Arial" w:hAnsi="Arial" w:cs="Arial"/>
                      <w:sz w:val="14"/>
                      <w:szCs w:val="14"/>
                      <w:lang w:val="fr-FR"/>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lang w:val="fr-FR"/>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50%</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val="restart"/>
                  <w:shd w:val="clear" w:color="auto" w:fill="auto"/>
                  <w:vAlign w:val="center"/>
                </w:tcPr>
                <w:p w:rsidR="00882AC3" w:rsidRPr="00710D26" w:rsidRDefault="00882AC3" w:rsidP="00882AC3">
                  <w:pPr>
                    <w:snapToGrid w:val="0"/>
                    <w:rPr>
                      <w:rFonts w:ascii="Arial" w:hAnsi="Arial" w:cs="Arial"/>
                      <w:sz w:val="14"/>
                      <w:szCs w:val="14"/>
                    </w:rPr>
                  </w:pPr>
                  <w:r w:rsidRPr="00710D26">
                    <w:rPr>
                      <w:rFonts w:ascii="Arial" w:hAnsi="Arial" w:cs="Arial"/>
                      <w:b/>
                      <w:sz w:val="14"/>
                      <w:szCs w:val="14"/>
                    </w:rPr>
                    <w:t>UL Average-UPT (Mbps)</w:t>
                  </w: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Mean</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50%</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val="restar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DL Packet-Latency CDF (ms)</w:t>
                  </w: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Mean</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50%</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val="restar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UL Packet-Latency CDF (ms)</w:t>
                  </w: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Mean</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50%</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val="restar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DL RU (%)</w:t>
                  </w: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Type-1</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Type-2</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val="restar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UL RU (%)</w:t>
                  </w: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 xml:space="preserve">Type-1 </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7"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6"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 xml:space="preserve">Type-2 </w:t>
                  </w:r>
                </w:p>
              </w:tc>
              <w:tc>
                <w:tcPr>
                  <w:tcW w:w="481"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2"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50" w:type="pct"/>
                  <w:shd w:val="clear" w:color="auto" w:fill="auto"/>
                  <w:vAlign w:val="center"/>
                </w:tcPr>
                <w:p w:rsidR="00882AC3" w:rsidRPr="00710D26" w:rsidRDefault="00882AC3" w:rsidP="00882AC3">
                  <w:pPr>
                    <w:snapToGrid w:val="0"/>
                    <w:rPr>
                      <w:rFonts w:ascii="Arial" w:hAnsi="Arial" w:cs="Arial"/>
                      <w:sz w:val="14"/>
                      <w:szCs w:val="14"/>
                    </w:rPr>
                  </w:pPr>
                </w:p>
              </w:tc>
              <w:tc>
                <w:tcPr>
                  <w:tcW w:w="484"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5000" w:type="pct"/>
                  <w:gridSpan w:val="11"/>
                  <w:shd w:val="clear" w:color="auto" w:fill="auto"/>
                  <w:vAlign w:val="center"/>
                </w:tcPr>
                <w:p w:rsidR="00882AC3" w:rsidRPr="00710D26" w:rsidRDefault="00882AC3" w:rsidP="00882AC3">
                  <w:pPr>
                    <w:snapToGrid w:val="0"/>
                    <w:rPr>
                      <w:rFonts w:ascii="Arial" w:eastAsia="等线" w:hAnsi="Arial" w:cs="Arial"/>
                      <w:sz w:val="14"/>
                      <w:szCs w:val="14"/>
                    </w:rPr>
                  </w:pPr>
                  <w:r w:rsidRPr="00710D26">
                    <w:rPr>
                      <w:rFonts w:ascii="Arial" w:eastAsia="等线" w:hAnsi="Arial" w:cs="Arial"/>
                      <w:color w:val="000000"/>
                      <w:sz w:val="14"/>
                      <w:szCs w:val="14"/>
                    </w:rPr>
                    <w:t>Note:</w:t>
                  </w:r>
                  <w:r w:rsidRPr="00710D26">
                    <w:rPr>
                      <w:rFonts w:ascii="Arial" w:eastAsia="等线" w:hAnsi="Arial" w:cs="Arial"/>
                      <w:color w:val="000000"/>
                      <w:sz w:val="14"/>
                      <w:szCs w:val="14"/>
                    </w:rPr>
                    <w:br/>
                  </w:r>
                  <w:r w:rsidRPr="00710D26">
                    <w:rPr>
                      <w:rFonts w:ascii="Arial" w:eastAsia="等线" w:hAnsi="Arial" w:cs="Arial"/>
                      <w:sz w:val="14"/>
                      <w:szCs w:val="14"/>
                    </w:rPr>
                    <w:t>- For UPT, the gain can be calculated as: Gain (%) = SBFD UPT / TDD UPT - 1</w:t>
                  </w:r>
                </w:p>
                <w:p w:rsidR="00882AC3" w:rsidRPr="00710D26" w:rsidRDefault="00882AC3" w:rsidP="00882AC3">
                  <w:pPr>
                    <w:snapToGrid w:val="0"/>
                    <w:rPr>
                      <w:rFonts w:ascii="Arial" w:eastAsia="等线" w:hAnsi="Arial" w:cs="Arial"/>
                      <w:sz w:val="14"/>
                      <w:szCs w:val="14"/>
                    </w:rPr>
                  </w:pPr>
                  <w:r w:rsidRPr="00710D26">
                    <w:rPr>
                      <w:rFonts w:ascii="Arial" w:eastAsia="等线" w:hAnsi="Arial" w:cs="Arial"/>
                      <w:sz w:val="14"/>
                      <w:szCs w:val="14"/>
                    </w:rPr>
                    <w:t>- For Latency, the increase can be calculated as: Increase (%) = SBFD latency / TDD latency - 1</w:t>
                  </w:r>
                </w:p>
                <w:p w:rsidR="00882AC3" w:rsidRPr="00710D26" w:rsidRDefault="00882AC3" w:rsidP="00882AC3">
                  <w:pPr>
                    <w:snapToGrid w:val="0"/>
                    <w:rPr>
                      <w:rFonts w:ascii="Arial" w:eastAsia="等线" w:hAnsi="Arial" w:cs="Arial"/>
                      <w:color w:val="FF0000"/>
                      <w:sz w:val="14"/>
                      <w:szCs w:val="14"/>
                    </w:rPr>
                  </w:pPr>
                  <w:r w:rsidRPr="00710D26">
                    <w:rPr>
                      <w:rFonts w:ascii="Arial" w:eastAsia="等线" w:hAnsi="Arial" w:cs="Arial"/>
                      <w:sz w:val="14"/>
                      <w:szCs w:val="14"/>
                    </w:rPr>
                    <w:t>- For RU, the increase can be calculated as: Increase (%) = SBFD RU (%) - TDD RU (%)</w:t>
                  </w:r>
                </w:p>
              </w:tc>
            </w:tr>
          </w:tbl>
          <w:p w:rsidR="00882AC3" w:rsidRPr="00710D26" w:rsidRDefault="00882AC3" w:rsidP="00882AC3"/>
          <w:p w:rsidR="00882AC3" w:rsidRPr="00710D26" w:rsidRDefault="00882AC3" w:rsidP="00882AC3">
            <w:pPr>
              <w:rPr>
                <w:highlight w:val="darkYellow"/>
              </w:rPr>
            </w:pPr>
            <w:r w:rsidRPr="00710D26">
              <w:rPr>
                <w:highlight w:val="darkYellow"/>
              </w:rPr>
              <w:t>Working Assumption</w:t>
            </w:r>
          </w:p>
          <w:p w:rsidR="00882AC3" w:rsidRPr="00710D26" w:rsidRDefault="00882AC3" w:rsidP="00882AC3">
            <w:r w:rsidRPr="00710D26">
              <w:t xml:space="preserve">For summary of companies’ SLS evaluation results for SBFD Deployment Case 3-2 in the TR, the following table-Y2 can be used as an example. </w:t>
            </w:r>
          </w:p>
          <w:p w:rsidR="00882AC3" w:rsidRPr="00710D26" w:rsidRDefault="00882AC3" w:rsidP="00882AC3">
            <w:pPr>
              <w:jc w:val="center"/>
            </w:pPr>
            <w:r w:rsidRPr="00710D26">
              <w:t>Table-Y2: Summary of results for sub-case XX of SBFD Deployment Case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579"/>
              <w:gridCol w:w="777"/>
              <w:gridCol w:w="777"/>
              <w:gridCol w:w="971"/>
              <w:gridCol w:w="767"/>
              <w:gridCol w:w="775"/>
              <w:gridCol w:w="971"/>
              <w:gridCol w:w="718"/>
              <w:gridCol w:w="718"/>
              <w:gridCol w:w="971"/>
            </w:tblGrid>
            <w:tr w:rsidR="00882AC3" w:rsidRPr="00710D26" w:rsidTr="00786810">
              <w:tc>
                <w:tcPr>
                  <w:tcW w:w="5000" w:type="pct"/>
                  <w:gridSpan w:val="11"/>
                  <w:shd w:val="clear" w:color="auto" w:fill="auto"/>
                  <w:vAlign w:val="center"/>
                </w:tcPr>
                <w:p w:rsidR="00882AC3" w:rsidRPr="00710D26" w:rsidRDefault="00882AC3" w:rsidP="00882AC3">
                  <w:pPr>
                    <w:snapToGrid w:val="0"/>
                    <w:jc w:val="center"/>
                    <w:rPr>
                      <w:rFonts w:ascii="Arial" w:hAnsi="Arial" w:cs="Arial"/>
                      <w:b/>
                      <w:bCs/>
                      <w:i/>
                      <w:iCs/>
                      <w:sz w:val="14"/>
                      <w:szCs w:val="14"/>
                    </w:rPr>
                  </w:pPr>
                  <w:r w:rsidRPr="00710D26">
                    <w:rPr>
                      <w:rFonts w:ascii="Arial" w:hAnsi="Arial" w:cs="Arial"/>
                      <w:b/>
                      <w:bCs/>
                      <w:i/>
                      <w:iCs/>
                      <w:sz w:val="14"/>
                      <w:szCs w:val="14"/>
                    </w:rPr>
                    <w:t>Simple description for the sub-case (e.g., SBFD Alt2, Twice area&amp;same TxRUs, DL: 4Kbytes, UL: 1Kbyte, …)</w:t>
                  </w:r>
                </w:p>
              </w:tc>
            </w:tr>
            <w:tr w:rsidR="00882AC3" w:rsidRPr="00710D26" w:rsidTr="00786810">
              <w:tc>
                <w:tcPr>
                  <w:tcW w:w="5000" w:type="pct"/>
                  <w:gridSpan w:val="11"/>
                  <w:shd w:val="clear" w:color="auto" w:fill="auto"/>
                  <w:vAlign w:val="center"/>
                </w:tcPr>
                <w:p w:rsidR="00882AC3" w:rsidRPr="00710D26" w:rsidRDefault="00882AC3" w:rsidP="00882AC3">
                  <w:pPr>
                    <w:snapToGrid w:val="0"/>
                    <w:jc w:val="center"/>
                    <w:rPr>
                      <w:rFonts w:ascii="Arial" w:hAnsi="Arial" w:cs="Arial"/>
                      <w:b/>
                      <w:bCs/>
                      <w:sz w:val="14"/>
                      <w:szCs w:val="14"/>
                    </w:rPr>
                  </w:pPr>
                  <w:r w:rsidRPr="00710D26">
                    <w:rPr>
                      <w:rFonts w:ascii="Arial" w:hAnsi="Arial" w:cs="Arial"/>
                      <w:b/>
                      <w:bCs/>
                      <w:color w:val="FF0000"/>
                      <w:sz w:val="14"/>
                      <w:szCs w:val="14"/>
                    </w:rPr>
                    <w:t>Layer-1 (Static TDD is always used for both baseline TDD network and SBFD Deployment Case 3-2)</w:t>
                  </w:r>
                </w:p>
              </w:tc>
            </w:tr>
            <w:tr w:rsidR="00882AC3" w:rsidRPr="00710D26" w:rsidTr="00786810">
              <w:tc>
                <w:tcPr>
                  <w:tcW w:w="718" w:type="pct"/>
                  <w:gridSpan w:val="2"/>
                  <w:shd w:val="clear" w:color="auto" w:fill="auto"/>
                  <w:vAlign w:val="center"/>
                </w:tcPr>
                <w:p w:rsidR="00882AC3" w:rsidRPr="00710D26" w:rsidRDefault="00882AC3" w:rsidP="00882AC3">
                  <w:pPr>
                    <w:snapToGrid w:val="0"/>
                    <w:rPr>
                      <w:rFonts w:ascii="Arial" w:hAnsi="Arial" w:cs="Arial"/>
                      <w:i/>
                      <w:sz w:val="14"/>
                      <w:szCs w:val="14"/>
                    </w:rPr>
                  </w:pPr>
                </w:p>
              </w:tc>
              <w:tc>
                <w:tcPr>
                  <w:tcW w:w="4282" w:type="pct"/>
                  <w:gridSpan w:val="9"/>
                  <w:shd w:val="clear" w:color="auto" w:fill="auto"/>
                  <w:vAlign w:val="center"/>
                </w:tcPr>
                <w:p w:rsidR="00882AC3" w:rsidRPr="00710D26" w:rsidRDefault="00882AC3" w:rsidP="00882AC3">
                  <w:pPr>
                    <w:snapToGrid w:val="0"/>
                    <w:jc w:val="center"/>
                    <w:rPr>
                      <w:rFonts w:ascii="Arial" w:hAnsi="Arial" w:cs="Arial"/>
                      <w:b/>
                      <w:sz w:val="14"/>
                      <w:szCs w:val="14"/>
                    </w:rPr>
                  </w:pPr>
                  <w:r w:rsidRPr="00710D26">
                    <w:rPr>
                      <w:rFonts w:ascii="Arial" w:hAnsi="Arial" w:cs="Arial"/>
                      <w:b/>
                      <w:bCs/>
                      <w:sz w:val="14"/>
                      <w:szCs w:val="14"/>
                    </w:rPr>
                    <w:t xml:space="preserve">DL and UL arrival rate for baseline static TDD (Type-2 RU: </w:t>
                  </w:r>
                  <w:r w:rsidRPr="00710D26">
                    <w:rPr>
                      <w:rFonts w:ascii="Arial" w:hAnsi="Arial" w:cs="Arial"/>
                      <w:b/>
                      <w:bCs/>
                      <w:iCs/>
                      <w:sz w:val="14"/>
                      <w:szCs w:val="14"/>
                    </w:rPr>
                    <w:t xml:space="preserve">&lt;10%, 20%-40% and </w:t>
                  </w:r>
                  <w:r w:rsidRPr="00710D26">
                    <w:rPr>
                      <w:rFonts w:ascii="Arial" w:hAnsi="Arial" w:cs="Arial"/>
                      <w:b/>
                      <w:bCs/>
                      <w:sz w:val="14"/>
                      <w:szCs w:val="14"/>
                    </w:rPr>
                    <w:t>≥</w:t>
                  </w:r>
                  <w:r w:rsidRPr="00710D26">
                    <w:rPr>
                      <w:rFonts w:ascii="Arial" w:hAnsi="Arial" w:cs="Arial"/>
                      <w:b/>
                      <w:bCs/>
                      <w:iCs/>
                      <w:sz w:val="14"/>
                      <w:szCs w:val="14"/>
                    </w:rPr>
                    <w:t>50%</w:t>
                  </w:r>
                  <w:r w:rsidRPr="00710D26">
                    <w:rPr>
                      <w:rFonts w:ascii="Arial" w:hAnsi="Arial" w:cs="Arial"/>
                      <w:b/>
                      <w:bCs/>
                      <w:sz w:val="14"/>
                      <w:szCs w:val="14"/>
                    </w:rPr>
                    <w:t>)</w:t>
                  </w:r>
                </w:p>
              </w:tc>
            </w:tr>
            <w:tr w:rsidR="00882AC3" w:rsidRPr="00710D26" w:rsidTr="00786810">
              <w:tc>
                <w:tcPr>
                  <w:tcW w:w="718" w:type="pct"/>
                  <w:gridSpan w:val="2"/>
                  <w:shd w:val="clear" w:color="auto" w:fill="auto"/>
                  <w:vAlign w:val="center"/>
                </w:tcPr>
                <w:p w:rsidR="00882AC3" w:rsidRPr="00710D26" w:rsidRDefault="00882AC3" w:rsidP="00882AC3">
                  <w:pPr>
                    <w:snapToGrid w:val="0"/>
                    <w:rPr>
                      <w:rFonts w:ascii="Arial" w:hAnsi="Arial" w:cs="Arial"/>
                      <w:i/>
                      <w:sz w:val="14"/>
                      <w:szCs w:val="14"/>
                    </w:rPr>
                  </w:pPr>
                </w:p>
              </w:tc>
              <w:tc>
                <w:tcPr>
                  <w:tcW w:w="1448" w:type="pct"/>
                  <w:gridSpan w:val="3"/>
                  <w:shd w:val="clear" w:color="auto" w:fill="auto"/>
                  <w:vAlign w:val="center"/>
                </w:tcPr>
                <w:p w:rsidR="00882AC3" w:rsidRPr="00710D26" w:rsidRDefault="00882AC3" w:rsidP="00882AC3">
                  <w:pPr>
                    <w:snapToGrid w:val="0"/>
                    <w:jc w:val="center"/>
                    <w:rPr>
                      <w:rFonts w:ascii="Arial" w:hAnsi="Arial" w:cs="Arial"/>
                      <w:b/>
                      <w:bCs/>
                      <w:sz w:val="14"/>
                      <w:szCs w:val="14"/>
                    </w:rPr>
                  </w:pPr>
                  <w:r w:rsidRPr="00710D26">
                    <w:rPr>
                      <w:rFonts w:ascii="Arial" w:hAnsi="Arial" w:cs="Arial"/>
                      <w:b/>
                      <w:bCs/>
                      <w:sz w:val="14"/>
                      <w:szCs w:val="14"/>
                    </w:rPr>
                    <w:t>DL: Low, UL: Low</w:t>
                  </w:r>
                </w:p>
              </w:tc>
              <w:tc>
                <w:tcPr>
                  <w:tcW w:w="1449" w:type="pct"/>
                  <w:gridSpan w:val="3"/>
                  <w:shd w:val="clear" w:color="auto" w:fill="auto"/>
                  <w:vAlign w:val="center"/>
                </w:tcPr>
                <w:p w:rsidR="00882AC3" w:rsidRPr="00710D26" w:rsidRDefault="00882AC3" w:rsidP="00882AC3">
                  <w:pPr>
                    <w:snapToGrid w:val="0"/>
                    <w:jc w:val="center"/>
                    <w:rPr>
                      <w:rFonts w:ascii="Arial" w:hAnsi="Arial" w:cs="Arial"/>
                      <w:b/>
                      <w:bCs/>
                      <w:sz w:val="14"/>
                      <w:szCs w:val="14"/>
                    </w:rPr>
                  </w:pPr>
                  <w:r w:rsidRPr="00710D26">
                    <w:rPr>
                      <w:rFonts w:ascii="Arial" w:hAnsi="Arial" w:cs="Arial"/>
                      <w:b/>
                      <w:bCs/>
                      <w:sz w:val="14"/>
                      <w:szCs w:val="14"/>
                    </w:rPr>
                    <w:t>DL: Medium, UL: Medium</w:t>
                  </w:r>
                </w:p>
              </w:tc>
              <w:tc>
                <w:tcPr>
                  <w:tcW w:w="1385" w:type="pct"/>
                  <w:gridSpan w:val="3"/>
                  <w:shd w:val="clear" w:color="auto" w:fill="auto"/>
                  <w:vAlign w:val="center"/>
                </w:tcPr>
                <w:p w:rsidR="00882AC3" w:rsidRPr="00710D26" w:rsidRDefault="00882AC3" w:rsidP="00882AC3">
                  <w:pPr>
                    <w:snapToGrid w:val="0"/>
                    <w:jc w:val="center"/>
                    <w:rPr>
                      <w:rFonts w:ascii="Arial" w:hAnsi="Arial" w:cs="Arial"/>
                      <w:b/>
                      <w:sz w:val="14"/>
                      <w:szCs w:val="14"/>
                    </w:rPr>
                  </w:pPr>
                  <w:r w:rsidRPr="00710D26">
                    <w:rPr>
                      <w:rFonts w:ascii="Arial" w:hAnsi="Arial" w:cs="Arial"/>
                      <w:b/>
                      <w:bCs/>
                      <w:sz w:val="14"/>
                      <w:szCs w:val="14"/>
                    </w:rPr>
                    <w:t>DL: High, UL: High</w:t>
                  </w:r>
                </w:p>
              </w:tc>
            </w:tr>
            <w:tr w:rsidR="00882AC3" w:rsidRPr="00710D26" w:rsidTr="00786810">
              <w:tc>
                <w:tcPr>
                  <w:tcW w:w="718" w:type="pct"/>
                  <w:gridSpan w:val="2"/>
                  <w:shd w:val="clear" w:color="auto" w:fill="auto"/>
                  <w:vAlign w:val="center"/>
                </w:tcPr>
                <w:p w:rsidR="00882AC3" w:rsidRPr="00710D26" w:rsidRDefault="00882AC3" w:rsidP="00882AC3">
                  <w:pPr>
                    <w:snapToGrid w:val="0"/>
                    <w:rPr>
                      <w:rFonts w:ascii="Arial" w:hAnsi="Arial" w:cs="Arial"/>
                      <w:b/>
                      <w:sz w:val="14"/>
                      <w:szCs w:val="14"/>
                    </w:rPr>
                  </w:pPr>
                </w:p>
              </w:tc>
              <w:tc>
                <w:tcPr>
                  <w:tcW w:w="477"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TDD</w:t>
                  </w:r>
                </w:p>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(with TDD in Layer-2)</w:t>
                  </w:r>
                </w:p>
              </w:tc>
              <w:tc>
                <w:tcPr>
                  <w:tcW w:w="478"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TDD</w:t>
                  </w:r>
                </w:p>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(with SBFD in Layer-2)</w:t>
                  </w:r>
                </w:p>
              </w:tc>
              <w:tc>
                <w:tcPr>
                  <w:tcW w:w="493"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Comparison of two TDD</w:t>
                  </w:r>
                </w:p>
              </w:tc>
              <w:tc>
                <w:tcPr>
                  <w:tcW w:w="478"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TDD</w:t>
                  </w:r>
                </w:p>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(with TDD in Layer-2)</w:t>
                  </w:r>
                </w:p>
              </w:tc>
              <w:tc>
                <w:tcPr>
                  <w:tcW w:w="478"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TDD</w:t>
                  </w:r>
                </w:p>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(SBFD in Layer-2)</w:t>
                  </w:r>
                </w:p>
              </w:tc>
              <w:tc>
                <w:tcPr>
                  <w:tcW w:w="493"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Comparison of two TDD</w:t>
                  </w:r>
                </w:p>
              </w:tc>
              <w:tc>
                <w:tcPr>
                  <w:tcW w:w="446"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TDD</w:t>
                  </w:r>
                </w:p>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(TDD in Layer-2)</w:t>
                  </w:r>
                </w:p>
              </w:tc>
              <w:tc>
                <w:tcPr>
                  <w:tcW w:w="446"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TDD</w:t>
                  </w:r>
                </w:p>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(SBFD in Layer-2)</w:t>
                  </w:r>
                </w:p>
              </w:tc>
              <w:tc>
                <w:tcPr>
                  <w:tcW w:w="493"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Comparison of two TDD</w:t>
                  </w:r>
                </w:p>
              </w:tc>
            </w:tr>
            <w:tr w:rsidR="00882AC3" w:rsidRPr="001B6E59" w:rsidTr="00786810">
              <w:tc>
                <w:tcPr>
                  <w:tcW w:w="414" w:type="pct"/>
                  <w:vMerge w:val="restart"/>
                  <w:shd w:val="clear" w:color="auto" w:fill="auto"/>
                  <w:vAlign w:val="center"/>
                </w:tcPr>
                <w:p w:rsidR="00882AC3" w:rsidRPr="00710D26" w:rsidRDefault="00882AC3" w:rsidP="00882AC3">
                  <w:pPr>
                    <w:snapToGrid w:val="0"/>
                    <w:rPr>
                      <w:rFonts w:ascii="Arial" w:hAnsi="Arial" w:cs="Arial"/>
                      <w:sz w:val="14"/>
                      <w:szCs w:val="14"/>
                    </w:rPr>
                  </w:pPr>
                  <w:r w:rsidRPr="00710D26">
                    <w:rPr>
                      <w:rFonts w:ascii="Arial" w:hAnsi="Arial" w:cs="Arial"/>
                      <w:b/>
                      <w:sz w:val="14"/>
                      <w:szCs w:val="14"/>
                    </w:rPr>
                    <w:t>DL Average-UPT (Mbps)</w:t>
                  </w: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Mean</w:t>
                  </w:r>
                </w:p>
              </w:tc>
              <w:tc>
                <w:tcPr>
                  <w:tcW w:w="477" w:type="pct"/>
                  <w:shd w:val="clear" w:color="auto" w:fill="auto"/>
                  <w:vAlign w:val="center"/>
                </w:tcPr>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Source1: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Source2: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Source3: xx</w:t>
                  </w:r>
                </w:p>
              </w:tc>
              <w:tc>
                <w:tcPr>
                  <w:tcW w:w="478" w:type="pct"/>
                  <w:shd w:val="clear" w:color="auto" w:fill="auto"/>
                  <w:vAlign w:val="center"/>
                </w:tcPr>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Source1: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Source2: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Source3: xx</w:t>
                  </w:r>
                </w:p>
              </w:tc>
              <w:tc>
                <w:tcPr>
                  <w:tcW w:w="493" w:type="pct"/>
                  <w:shd w:val="clear" w:color="auto" w:fill="auto"/>
                  <w:vAlign w:val="center"/>
                </w:tcPr>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Source1: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Source2: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Source3: xx%</w:t>
                  </w:r>
                </w:p>
              </w:tc>
              <w:tc>
                <w:tcPr>
                  <w:tcW w:w="478"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78"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93"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46"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46"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93" w:type="pct"/>
                  <w:shd w:val="clear" w:color="auto" w:fill="auto"/>
                  <w:vAlign w:val="center"/>
                </w:tcPr>
                <w:p w:rsidR="00882AC3" w:rsidRPr="00710D26" w:rsidRDefault="00882AC3" w:rsidP="00882AC3">
                  <w:pPr>
                    <w:snapToGrid w:val="0"/>
                    <w:rPr>
                      <w:rFonts w:ascii="Arial" w:hAnsi="Arial" w:cs="Arial"/>
                      <w:sz w:val="14"/>
                      <w:szCs w:val="14"/>
                      <w:lang w:val="fr-FR"/>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lang w:val="fr-FR"/>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50%</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val="restart"/>
                  <w:shd w:val="clear" w:color="auto" w:fill="auto"/>
                  <w:vAlign w:val="center"/>
                </w:tcPr>
                <w:p w:rsidR="00882AC3" w:rsidRPr="00710D26" w:rsidRDefault="00882AC3" w:rsidP="00882AC3">
                  <w:pPr>
                    <w:snapToGrid w:val="0"/>
                    <w:rPr>
                      <w:rFonts w:ascii="Arial" w:hAnsi="Arial" w:cs="Arial"/>
                      <w:sz w:val="14"/>
                      <w:szCs w:val="14"/>
                    </w:rPr>
                  </w:pPr>
                  <w:r w:rsidRPr="00710D26">
                    <w:rPr>
                      <w:rFonts w:ascii="Arial" w:hAnsi="Arial" w:cs="Arial"/>
                      <w:b/>
                      <w:sz w:val="14"/>
                      <w:szCs w:val="14"/>
                    </w:rPr>
                    <w:t>UL Average-UPT (Mbps)</w:t>
                  </w: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Mean</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50%</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val="restar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DL Packet-Latency CDF (ms)</w:t>
                  </w: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Mean</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50%</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val="restar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UL Packet-Latency CDF (ms)</w:t>
                  </w: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Mean</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50%</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val="restar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DL RU (%)</w:t>
                  </w: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Type-1</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Type-2</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val="restar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UL RU (%)</w:t>
                  </w: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 xml:space="preserve">Type-1 </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 xml:space="preserve">Type-2 </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5000" w:type="pct"/>
                  <w:gridSpan w:val="11"/>
                  <w:shd w:val="clear" w:color="auto" w:fill="auto"/>
                  <w:vAlign w:val="center"/>
                </w:tcPr>
                <w:p w:rsidR="00882AC3" w:rsidRPr="00710D26" w:rsidRDefault="00882AC3" w:rsidP="00882AC3">
                  <w:pPr>
                    <w:snapToGrid w:val="0"/>
                    <w:jc w:val="center"/>
                    <w:rPr>
                      <w:rFonts w:ascii="Arial" w:hAnsi="Arial" w:cs="Arial"/>
                      <w:b/>
                      <w:bCs/>
                      <w:sz w:val="14"/>
                      <w:szCs w:val="14"/>
                    </w:rPr>
                  </w:pPr>
                  <w:r w:rsidRPr="00710D26">
                    <w:rPr>
                      <w:rFonts w:ascii="Arial" w:hAnsi="Arial" w:cs="Arial"/>
                      <w:b/>
                      <w:bCs/>
                      <w:color w:val="FF0000"/>
                      <w:sz w:val="14"/>
                      <w:szCs w:val="14"/>
                    </w:rPr>
                    <w:t>Layer-2 (Static TDD is used for baseline TDD network and SBFD is used for SBFD Deployment Case 3-2)</w:t>
                  </w:r>
                </w:p>
              </w:tc>
            </w:tr>
            <w:tr w:rsidR="00882AC3" w:rsidRPr="00710D26" w:rsidTr="00786810">
              <w:tc>
                <w:tcPr>
                  <w:tcW w:w="718" w:type="pct"/>
                  <w:gridSpan w:val="2"/>
                  <w:shd w:val="clear" w:color="auto" w:fill="auto"/>
                  <w:vAlign w:val="center"/>
                </w:tcPr>
                <w:p w:rsidR="00882AC3" w:rsidRPr="00710D26" w:rsidRDefault="00882AC3" w:rsidP="00882AC3">
                  <w:pPr>
                    <w:snapToGrid w:val="0"/>
                    <w:rPr>
                      <w:rFonts w:ascii="Arial" w:hAnsi="Arial" w:cs="Arial"/>
                      <w:i/>
                      <w:sz w:val="14"/>
                      <w:szCs w:val="14"/>
                    </w:rPr>
                  </w:pPr>
                </w:p>
              </w:tc>
              <w:tc>
                <w:tcPr>
                  <w:tcW w:w="4282" w:type="pct"/>
                  <w:gridSpan w:val="9"/>
                  <w:shd w:val="clear" w:color="auto" w:fill="auto"/>
                  <w:vAlign w:val="center"/>
                </w:tcPr>
                <w:p w:rsidR="00882AC3" w:rsidRPr="00710D26" w:rsidRDefault="00882AC3" w:rsidP="00882AC3">
                  <w:pPr>
                    <w:snapToGrid w:val="0"/>
                    <w:jc w:val="center"/>
                    <w:rPr>
                      <w:rFonts w:ascii="Arial" w:hAnsi="Arial" w:cs="Arial"/>
                      <w:b/>
                      <w:sz w:val="14"/>
                      <w:szCs w:val="14"/>
                    </w:rPr>
                  </w:pPr>
                  <w:r w:rsidRPr="00710D26">
                    <w:rPr>
                      <w:rFonts w:ascii="Arial" w:hAnsi="Arial" w:cs="Arial"/>
                      <w:b/>
                      <w:bCs/>
                      <w:sz w:val="14"/>
                      <w:szCs w:val="14"/>
                    </w:rPr>
                    <w:t xml:space="preserve">DL and UL arrival rate for baseline static TDD (Type-2 RU: </w:t>
                  </w:r>
                  <w:r w:rsidRPr="00710D26">
                    <w:rPr>
                      <w:rFonts w:ascii="Arial" w:hAnsi="Arial" w:cs="Arial"/>
                      <w:b/>
                      <w:bCs/>
                      <w:iCs/>
                      <w:sz w:val="14"/>
                      <w:szCs w:val="14"/>
                    </w:rPr>
                    <w:t xml:space="preserve">&lt;10%, 20%-40% and </w:t>
                  </w:r>
                  <w:r w:rsidRPr="00710D26">
                    <w:rPr>
                      <w:rFonts w:ascii="Arial" w:hAnsi="Arial" w:cs="Arial"/>
                      <w:b/>
                      <w:bCs/>
                      <w:sz w:val="14"/>
                      <w:szCs w:val="14"/>
                    </w:rPr>
                    <w:t>≥</w:t>
                  </w:r>
                  <w:r w:rsidRPr="00710D26">
                    <w:rPr>
                      <w:rFonts w:ascii="Arial" w:hAnsi="Arial" w:cs="Arial"/>
                      <w:b/>
                      <w:bCs/>
                      <w:iCs/>
                      <w:sz w:val="14"/>
                      <w:szCs w:val="14"/>
                    </w:rPr>
                    <w:t>50%</w:t>
                  </w:r>
                  <w:r w:rsidRPr="00710D26">
                    <w:rPr>
                      <w:rFonts w:ascii="Arial" w:hAnsi="Arial" w:cs="Arial"/>
                      <w:b/>
                      <w:bCs/>
                      <w:sz w:val="14"/>
                      <w:szCs w:val="14"/>
                    </w:rPr>
                    <w:t>)</w:t>
                  </w:r>
                </w:p>
              </w:tc>
            </w:tr>
            <w:tr w:rsidR="00882AC3" w:rsidRPr="00710D26" w:rsidTr="00786810">
              <w:tc>
                <w:tcPr>
                  <w:tcW w:w="718" w:type="pct"/>
                  <w:gridSpan w:val="2"/>
                  <w:shd w:val="clear" w:color="auto" w:fill="auto"/>
                  <w:vAlign w:val="center"/>
                </w:tcPr>
                <w:p w:rsidR="00882AC3" w:rsidRPr="00710D26" w:rsidRDefault="00882AC3" w:rsidP="00882AC3">
                  <w:pPr>
                    <w:snapToGrid w:val="0"/>
                    <w:rPr>
                      <w:rFonts w:ascii="Arial" w:hAnsi="Arial" w:cs="Arial"/>
                      <w:i/>
                      <w:sz w:val="14"/>
                      <w:szCs w:val="14"/>
                    </w:rPr>
                  </w:pPr>
                </w:p>
              </w:tc>
              <w:tc>
                <w:tcPr>
                  <w:tcW w:w="1448" w:type="pct"/>
                  <w:gridSpan w:val="3"/>
                  <w:shd w:val="clear" w:color="auto" w:fill="auto"/>
                  <w:vAlign w:val="center"/>
                </w:tcPr>
                <w:p w:rsidR="00882AC3" w:rsidRPr="00710D26" w:rsidRDefault="00882AC3" w:rsidP="00882AC3">
                  <w:pPr>
                    <w:snapToGrid w:val="0"/>
                    <w:jc w:val="center"/>
                    <w:rPr>
                      <w:rFonts w:ascii="Arial" w:hAnsi="Arial" w:cs="Arial"/>
                      <w:b/>
                      <w:bCs/>
                      <w:sz w:val="14"/>
                      <w:szCs w:val="14"/>
                    </w:rPr>
                  </w:pPr>
                  <w:r w:rsidRPr="00710D26">
                    <w:rPr>
                      <w:rFonts w:ascii="Arial" w:hAnsi="Arial" w:cs="Arial"/>
                      <w:b/>
                      <w:bCs/>
                      <w:sz w:val="14"/>
                      <w:szCs w:val="14"/>
                    </w:rPr>
                    <w:t>DL: Low, UL: Low</w:t>
                  </w:r>
                </w:p>
              </w:tc>
              <w:tc>
                <w:tcPr>
                  <w:tcW w:w="1449" w:type="pct"/>
                  <w:gridSpan w:val="3"/>
                  <w:shd w:val="clear" w:color="auto" w:fill="auto"/>
                  <w:vAlign w:val="center"/>
                </w:tcPr>
                <w:p w:rsidR="00882AC3" w:rsidRPr="00710D26" w:rsidRDefault="00882AC3" w:rsidP="00882AC3">
                  <w:pPr>
                    <w:snapToGrid w:val="0"/>
                    <w:jc w:val="center"/>
                    <w:rPr>
                      <w:rFonts w:ascii="Arial" w:hAnsi="Arial" w:cs="Arial"/>
                      <w:b/>
                      <w:bCs/>
                      <w:sz w:val="14"/>
                      <w:szCs w:val="14"/>
                    </w:rPr>
                  </w:pPr>
                  <w:r w:rsidRPr="00710D26">
                    <w:rPr>
                      <w:rFonts w:ascii="Arial" w:hAnsi="Arial" w:cs="Arial"/>
                      <w:b/>
                      <w:bCs/>
                      <w:sz w:val="14"/>
                      <w:szCs w:val="14"/>
                    </w:rPr>
                    <w:t>DL: Medium, UL: Medium</w:t>
                  </w:r>
                </w:p>
              </w:tc>
              <w:tc>
                <w:tcPr>
                  <w:tcW w:w="1385" w:type="pct"/>
                  <w:gridSpan w:val="3"/>
                  <w:shd w:val="clear" w:color="auto" w:fill="auto"/>
                  <w:vAlign w:val="center"/>
                </w:tcPr>
                <w:p w:rsidR="00882AC3" w:rsidRPr="00710D26" w:rsidRDefault="00882AC3" w:rsidP="00882AC3">
                  <w:pPr>
                    <w:snapToGrid w:val="0"/>
                    <w:jc w:val="center"/>
                    <w:rPr>
                      <w:rFonts w:ascii="Arial" w:hAnsi="Arial" w:cs="Arial"/>
                      <w:b/>
                      <w:sz w:val="14"/>
                      <w:szCs w:val="14"/>
                    </w:rPr>
                  </w:pPr>
                  <w:r w:rsidRPr="00710D26">
                    <w:rPr>
                      <w:rFonts w:ascii="Arial" w:hAnsi="Arial" w:cs="Arial"/>
                      <w:b/>
                      <w:bCs/>
                      <w:sz w:val="14"/>
                      <w:szCs w:val="14"/>
                    </w:rPr>
                    <w:t>DL: High, UL: High</w:t>
                  </w:r>
                </w:p>
              </w:tc>
            </w:tr>
            <w:tr w:rsidR="00882AC3" w:rsidRPr="00710D26" w:rsidTr="00786810">
              <w:tc>
                <w:tcPr>
                  <w:tcW w:w="718" w:type="pct"/>
                  <w:gridSpan w:val="2"/>
                  <w:shd w:val="clear" w:color="auto" w:fill="auto"/>
                  <w:vAlign w:val="center"/>
                </w:tcPr>
                <w:p w:rsidR="00882AC3" w:rsidRPr="00710D26" w:rsidRDefault="00882AC3" w:rsidP="00882AC3">
                  <w:pPr>
                    <w:snapToGrid w:val="0"/>
                    <w:rPr>
                      <w:rFonts w:ascii="Arial" w:hAnsi="Arial" w:cs="Arial"/>
                      <w:b/>
                      <w:sz w:val="14"/>
                      <w:szCs w:val="14"/>
                    </w:rPr>
                  </w:pPr>
                </w:p>
              </w:tc>
              <w:tc>
                <w:tcPr>
                  <w:tcW w:w="477"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TDD</w:t>
                  </w:r>
                </w:p>
              </w:tc>
              <w:tc>
                <w:tcPr>
                  <w:tcW w:w="478"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SBFD</w:t>
                  </w:r>
                </w:p>
              </w:tc>
              <w:tc>
                <w:tcPr>
                  <w:tcW w:w="493"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Gain /Increase</w:t>
                  </w:r>
                </w:p>
              </w:tc>
              <w:tc>
                <w:tcPr>
                  <w:tcW w:w="478"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TDD</w:t>
                  </w:r>
                </w:p>
              </w:tc>
              <w:tc>
                <w:tcPr>
                  <w:tcW w:w="478"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SBFD</w:t>
                  </w:r>
                </w:p>
              </w:tc>
              <w:tc>
                <w:tcPr>
                  <w:tcW w:w="493"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Gain /Increase</w:t>
                  </w:r>
                </w:p>
              </w:tc>
              <w:tc>
                <w:tcPr>
                  <w:tcW w:w="446"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TDD</w:t>
                  </w:r>
                </w:p>
              </w:tc>
              <w:tc>
                <w:tcPr>
                  <w:tcW w:w="446"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SBFD</w:t>
                  </w:r>
                </w:p>
              </w:tc>
              <w:tc>
                <w:tcPr>
                  <w:tcW w:w="493" w:type="pct"/>
                  <w:shd w:val="clear" w:color="auto" w:fill="auto"/>
                  <w:vAlign w:val="center"/>
                </w:tcPr>
                <w:p w:rsidR="00882AC3" w:rsidRPr="00710D26" w:rsidRDefault="00882AC3" w:rsidP="00882AC3">
                  <w:pPr>
                    <w:snapToGrid w:val="0"/>
                    <w:jc w:val="center"/>
                    <w:rPr>
                      <w:rFonts w:ascii="Arial" w:hAnsi="Arial" w:cs="Arial"/>
                      <w:color w:val="FF0000"/>
                      <w:sz w:val="14"/>
                      <w:szCs w:val="14"/>
                    </w:rPr>
                  </w:pPr>
                  <w:r w:rsidRPr="00710D26">
                    <w:rPr>
                      <w:rFonts w:ascii="Arial" w:hAnsi="Arial" w:cs="Arial"/>
                      <w:color w:val="FF0000"/>
                      <w:sz w:val="14"/>
                      <w:szCs w:val="14"/>
                    </w:rPr>
                    <w:t>Gain /Increase</w:t>
                  </w:r>
                </w:p>
              </w:tc>
            </w:tr>
            <w:tr w:rsidR="00882AC3" w:rsidRPr="001B6E59" w:rsidTr="00786810">
              <w:tc>
                <w:tcPr>
                  <w:tcW w:w="414" w:type="pct"/>
                  <w:vMerge w:val="restart"/>
                  <w:shd w:val="clear" w:color="auto" w:fill="auto"/>
                  <w:vAlign w:val="center"/>
                </w:tcPr>
                <w:p w:rsidR="00882AC3" w:rsidRPr="00710D26" w:rsidRDefault="00882AC3" w:rsidP="00882AC3">
                  <w:pPr>
                    <w:snapToGrid w:val="0"/>
                    <w:rPr>
                      <w:rFonts w:ascii="Arial" w:hAnsi="Arial" w:cs="Arial"/>
                      <w:sz w:val="14"/>
                      <w:szCs w:val="14"/>
                    </w:rPr>
                  </w:pPr>
                  <w:r w:rsidRPr="00710D26">
                    <w:rPr>
                      <w:rFonts w:ascii="Arial" w:hAnsi="Arial" w:cs="Arial"/>
                      <w:b/>
                      <w:sz w:val="14"/>
                      <w:szCs w:val="14"/>
                    </w:rPr>
                    <w:t>DL Average-UPT (Mbps)</w:t>
                  </w: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Mean</w:t>
                  </w:r>
                </w:p>
              </w:tc>
              <w:tc>
                <w:tcPr>
                  <w:tcW w:w="477" w:type="pct"/>
                  <w:shd w:val="clear" w:color="auto" w:fill="auto"/>
                  <w:vAlign w:val="center"/>
                </w:tcPr>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Source1: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Source2: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Source3: xx</w:t>
                  </w:r>
                </w:p>
              </w:tc>
              <w:tc>
                <w:tcPr>
                  <w:tcW w:w="478" w:type="pct"/>
                  <w:shd w:val="clear" w:color="auto" w:fill="auto"/>
                  <w:vAlign w:val="center"/>
                </w:tcPr>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Source1: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Source2: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Source3: xx</w:t>
                  </w:r>
                </w:p>
              </w:tc>
              <w:tc>
                <w:tcPr>
                  <w:tcW w:w="493" w:type="pct"/>
                  <w:shd w:val="clear" w:color="auto" w:fill="auto"/>
                  <w:vAlign w:val="center"/>
                </w:tcPr>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Source1: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Source2: xx%</w:t>
                  </w:r>
                </w:p>
                <w:p w:rsidR="00882AC3" w:rsidRPr="00710D26" w:rsidRDefault="00882AC3" w:rsidP="00882AC3">
                  <w:pPr>
                    <w:snapToGrid w:val="0"/>
                    <w:rPr>
                      <w:rFonts w:ascii="Arial" w:hAnsi="Arial" w:cs="Arial"/>
                      <w:sz w:val="14"/>
                      <w:szCs w:val="14"/>
                      <w:lang w:val="fr-FR"/>
                    </w:rPr>
                  </w:pPr>
                  <w:r w:rsidRPr="00710D26">
                    <w:rPr>
                      <w:rFonts w:ascii="Arial" w:hAnsi="Arial" w:cs="Arial"/>
                      <w:sz w:val="14"/>
                      <w:szCs w:val="14"/>
                      <w:lang w:val="fr-FR"/>
                    </w:rPr>
                    <w:t>Source3: xx%</w:t>
                  </w:r>
                </w:p>
              </w:tc>
              <w:tc>
                <w:tcPr>
                  <w:tcW w:w="478"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78"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93"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46"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46" w:type="pct"/>
                  <w:shd w:val="clear" w:color="auto" w:fill="auto"/>
                  <w:vAlign w:val="center"/>
                </w:tcPr>
                <w:p w:rsidR="00882AC3" w:rsidRPr="00710D26" w:rsidRDefault="00882AC3" w:rsidP="00882AC3">
                  <w:pPr>
                    <w:snapToGrid w:val="0"/>
                    <w:rPr>
                      <w:rFonts w:ascii="Arial" w:hAnsi="Arial" w:cs="Arial"/>
                      <w:sz w:val="14"/>
                      <w:szCs w:val="14"/>
                      <w:lang w:val="fr-FR"/>
                    </w:rPr>
                  </w:pPr>
                </w:p>
              </w:tc>
              <w:tc>
                <w:tcPr>
                  <w:tcW w:w="493" w:type="pct"/>
                  <w:shd w:val="clear" w:color="auto" w:fill="auto"/>
                  <w:vAlign w:val="center"/>
                </w:tcPr>
                <w:p w:rsidR="00882AC3" w:rsidRPr="00710D26" w:rsidRDefault="00882AC3" w:rsidP="00882AC3">
                  <w:pPr>
                    <w:snapToGrid w:val="0"/>
                    <w:rPr>
                      <w:rFonts w:ascii="Arial" w:hAnsi="Arial" w:cs="Arial"/>
                      <w:sz w:val="14"/>
                      <w:szCs w:val="14"/>
                      <w:lang w:val="fr-FR"/>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lang w:val="fr-FR"/>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50%</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val="restart"/>
                  <w:shd w:val="clear" w:color="auto" w:fill="auto"/>
                  <w:vAlign w:val="center"/>
                </w:tcPr>
                <w:p w:rsidR="00882AC3" w:rsidRPr="00710D26" w:rsidRDefault="00882AC3" w:rsidP="00882AC3">
                  <w:pPr>
                    <w:snapToGrid w:val="0"/>
                    <w:rPr>
                      <w:rFonts w:ascii="Arial" w:hAnsi="Arial" w:cs="Arial"/>
                      <w:sz w:val="14"/>
                      <w:szCs w:val="14"/>
                    </w:rPr>
                  </w:pPr>
                  <w:r w:rsidRPr="00710D26">
                    <w:rPr>
                      <w:rFonts w:ascii="Arial" w:hAnsi="Arial" w:cs="Arial"/>
                      <w:b/>
                      <w:sz w:val="14"/>
                      <w:szCs w:val="14"/>
                    </w:rPr>
                    <w:t>UL Average-UPT (Mbps)</w:t>
                  </w: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Mean</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50%</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val="restar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DL Packet-Latency CDF (ms)</w:t>
                  </w: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Mean</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50%</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val="restar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UL Packet-Latency CDF (ms)</w:t>
                  </w: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Mean</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50%</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val="restar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DL RU (%)</w:t>
                  </w: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Type-1</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Type-2</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val="restar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UL RU (%)</w:t>
                  </w: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 xml:space="preserve">Type-1 </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414" w:type="pct"/>
                  <w:vMerge/>
                  <w:shd w:val="clear" w:color="auto" w:fill="auto"/>
                  <w:vAlign w:val="center"/>
                </w:tcPr>
                <w:p w:rsidR="00882AC3" w:rsidRPr="00710D26" w:rsidRDefault="00882AC3" w:rsidP="00882AC3">
                  <w:pPr>
                    <w:snapToGrid w:val="0"/>
                    <w:rPr>
                      <w:rFonts w:ascii="Arial" w:hAnsi="Arial" w:cs="Arial"/>
                      <w:b/>
                      <w:sz w:val="14"/>
                      <w:szCs w:val="14"/>
                    </w:rPr>
                  </w:pPr>
                </w:p>
              </w:tc>
              <w:tc>
                <w:tcPr>
                  <w:tcW w:w="304" w:type="pct"/>
                  <w:shd w:val="clear" w:color="auto" w:fill="auto"/>
                  <w:vAlign w:val="center"/>
                </w:tcPr>
                <w:p w:rsidR="00882AC3" w:rsidRPr="00710D26" w:rsidRDefault="00882AC3" w:rsidP="00882AC3">
                  <w:pPr>
                    <w:snapToGrid w:val="0"/>
                    <w:rPr>
                      <w:rFonts w:ascii="Arial" w:hAnsi="Arial" w:cs="Arial"/>
                      <w:b/>
                      <w:sz w:val="14"/>
                      <w:szCs w:val="14"/>
                    </w:rPr>
                  </w:pPr>
                  <w:r w:rsidRPr="00710D26">
                    <w:rPr>
                      <w:rFonts w:ascii="Arial" w:hAnsi="Arial" w:cs="Arial"/>
                      <w:b/>
                      <w:sz w:val="14"/>
                      <w:szCs w:val="14"/>
                    </w:rPr>
                    <w:t xml:space="preserve">Type-2 </w:t>
                  </w:r>
                </w:p>
              </w:tc>
              <w:tc>
                <w:tcPr>
                  <w:tcW w:w="477"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78"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46" w:type="pct"/>
                  <w:shd w:val="clear" w:color="auto" w:fill="auto"/>
                  <w:vAlign w:val="center"/>
                </w:tcPr>
                <w:p w:rsidR="00882AC3" w:rsidRPr="00710D26" w:rsidRDefault="00882AC3" w:rsidP="00882AC3">
                  <w:pPr>
                    <w:snapToGrid w:val="0"/>
                    <w:rPr>
                      <w:rFonts w:ascii="Arial" w:hAnsi="Arial" w:cs="Arial"/>
                      <w:sz w:val="14"/>
                      <w:szCs w:val="14"/>
                    </w:rPr>
                  </w:pPr>
                </w:p>
              </w:tc>
              <w:tc>
                <w:tcPr>
                  <w:tcW w:w="493" w:type="pct"/>
                  <w:shd w:val="clear" w:color="auto" w:fill="auto"/>
                  <w:vAlign w:val="center"/>
                </w:tcPr>
                <w:p w:rsidR="00882AC3" w:rsidRPr="00710D26" w:rsidRDefault="00882AC3" w:rsidP="00882AC3">
                  <w:pPr>
                    <w:snapToGrid w:val="0"/>
                    <w:rPr>
                      <w:rFonts w:ascii="Arial" w:hAnsi="Arial" w:cs="Arial"/>
                      <w:sz w:val="14"/>
                      <w:szCs w:val="14"/>
                    </w:rPr>
                  </w:pPr>
                </w:p>
              </w:tc>
            </w:tr>
            <w:tr w:rsidR="00882AC3" w:rsidRPr="00710D26" w:rsidTr="00786810">
              <w:tc>
                <w:tcPr>
                  <w:tcW w:w="5000" w:type="pct"/>
                  <w:gridSpan w:val="11"/>
                  <w:shd w:val="clear" w:color="auto" w:fill="auto"/>
                  <w:vAlign w:val="center"/>
                </w:tcPr>
                <w:p w:rsidR="00882AC3" w:rsidRPr="00710D26" w:rsidRDefault="00882AC3" w:rsidP="00882AC3">
                  <w:pPr>
                    <w:snapToGrid w:val="0"/>
                    <w:rPr>
                      <w:rFonts w:ascii="Arial" w:eastAsia="等线" w:hAnsi="Arial" w:cs="Arial"/>
                      <w:sz w:val="14"/>
                      <w:szCs w:val="14"/>
                    </w:rPr>
                  </w:pPr>
                  <w:r w:rsidRPr="00710D26">
                    <w:rPr>
                      <w:rFonts w:ascii="Arial" w:eastAsia="等线" w:hAnsi="Arial" w:cs="Arial"/>
                      <w:color w:val="000000"/>
                      <w:sz w:val="14"/>
                      <w:szCs w:val="14"/>
                    </w:rPr>
                    <w:t>Note:</w:t>
                  </w:r>
                  <w:r w:rsidRPr="00710D26">
                    <w:rPr>
                      <w:rFonts w:ascii="Arial" w:eastAsia="等线" w:hAnsi="Arial" w:cs="Arial"/>
                      <w:color w:val="000000"/>
                      <w:sz w:val="14"/>
                      <w:szCs w:val="14"/>
                    </w:rPr>
                    <w:br/>
                  </w:r>
                  <w:r w:rsidRPr="00710D26">
                    <w:rPr>
                      <w:rFonts w:ascii="Arial" w:eastAsia="等线" w:hAnsi="Arial" w:cs="Arial"/>
                      <w:sz w:val="14"/>
                      <w:szCs w:val="14"/>
                    </w:rPr>
                    <w:t>- For UPT, the gain can be calculated as: Gain (%) = SBFD UPT / TDD UPT – 1</w:t>
                  </w:r>
                </w:p>
                <w:p w:rsidR="00882AC3" w:rsidRPr="00710D26" w:rsidRDefault="00882AC3" w:rsidP="00882AC3">
                  <w:pPr>
                    <w:snapToGrid w:val="0"/>
                    <w:rPr>
                      <w:rFonts w:ascii="Arial" w:eastAsia="等线" w:hAnsi="Arial" w:cs="Arial"/>
                      <w:sz w:val="14"/>
                      <w:szCs w:val="14"/>
                    </w:rPr>
                  </w:pPr>
                  <w:r w:rsidRPr="00710D26">
                    <w:rPr>
                      <w:rFonts w:ascii="Arial" w:eastAsia="等线" w:hAnsi="Arial" w:cs="Arial"/>
                      <w:sz w:val="14"/>
                      <w:szCs w:val="14"/>
                    </w:rPr>
                    <w:t>- For Latency, the increase can be calculated as: Increase (%) = SBFD latency / TDD latency – 1</w:t>
                  </w:r>
                </w:p>
                <w:p w:rsidR="00882AC3" w:rsidRPr="00710D26" w:rsidRDefault="00882AC3" w:rsidP="00882AC3">
                  <w:pPr>
                    <w:snapToGrid w:val="0"/>
                    <w:rPr>
                      <w:rFonts w:ascii="Arial" w:eastAsia="等线" w:hAnsi="Arial" w:cs="Arial"/>
                      <w:color w:val="FF0000"/>
                      <w:sz w:val="14"/>
                      <w:szCs w:val="14"/>
                    </w:rPr>
                  </w:pPr>
                  <w:r w:rsidRPr="00710D26">
                    <w:rPr>
                      <w:rFonts w:ascii="Arial" w:eastAsia="等线" w:hAnsi="Arial" w:cs="Arial"/>
                      <w:sz w:val="14"/>
                      <w:szCs w:val="14"/>
                    </w:rPr>
                    <w:t>- For RU, the increase can be calculated as: Increase (%) = SBFD RU (%) – TDD RU (%)</w:t>
                  </w:r>
                </w:p>
              </w:tc>
            </w:tr>
          </w:tbl>
          <w:p w:rsidR="00BC02F4" w:rsidRPr="00882AC3" w:rsidRDefault="00BC02F4" w:rsidP="00C741B7">
            <w:pPr>
              <w:rPr>
                <w:rFonts w:cs="Times"/>
                <w:bCs/>
                <w:highlight w:val="green"/>
              </w:rPr>
            </w:pPr>
          </w:p>
        </w:tc>
      </w:tr>
    </w:tbl>
    <w:p w:rsidR="000B794C" w:rsidRDefault="00C741B7" w:rsidP="00363AEE">
      <w:pPr>
        <w:widowControl/>
        <w:spacing w:before="240" w:after="120"/>
        <w:rPr>
          <w:rFonts w:ascii="Times New Roman" w:hAnsi="Times New Roman" w:cs="Times New Roman"/>
          <w:bCs/>
          <w:iCs/>
          <w:sz w:val="20"/>
          <w:szCs w:val="20"/>
        </w:rPr>
      </w:pPr>
      <w:r>
        <w:rPr>
          <w:rFonts w:ascii="Times New Roman" w:hAnsi="Times New Roman" w:cs="Times New Roman"/>
          <w:bCs/>
          <w:iCs/>
          <w:sz w:val="20"/>
          <w:szCs w:val="20"/>
        </w:rPr>
        <w:t xml:space="preserve">Regarding above two </w:t>
      </w:r>
      <w:r w:rsidR="00882AC3">
        <w:rPr>
          <w:rFonts w:ascii="Times New Roman" w:hAnsi="Times New Roman" w:cs="Times New Roman"/>
          <w:bCs/>
          <w:iCs/>
          <w:sz w:val="20"/>
          <w:szCs w:val="20"/>
        </w:rPr>
        <w:t xml:space="preserve">work assumption, </w:t>
      </w:r>
      <w:r w:rsidR="006376B9">
        <w:rPr>
          <w:rFonts w:ascii="Times New Roman" w:hAnsi="Times New Roman" w:cs="Times New Roman"/>
          <w:bCs/>
          <w:iCs/>
          <w:sz w:val="20"/>
          <w:szCs w:val="20"/>
        </w:rPr>
        <w:t>RAN1 can confirm these two work assumption</w:t>
      </w:r>
      <w:r w:rsidR="00882AC3">
        <w:rPr>
          <w:rFonts w:ascii="Times New Roman" w:hAnsi="Times New Roman" w:cs="Times New Roman"/>
          <w:bCs/>
          <w:iCs/>
          <w:sz w:val="20"/>
          <w:szCs w:val="20"/>
        </w:rPr>
        <w:t xml:space="preserve"> because the above 4 table templ</w:t>
      </w:r>
      <w:r w:rsidR="00A9636E">
        <w:rPr>
          <w:rFonts w:ascii="Times New Roman" w:hAnsi="Times New Roman" w:cs="Times New Roman"/>
          <w:bCs/>
          <w:iCs/>
          <w:sz w:val="20"/>
          <w:szCs w:val="20"/>
        </w:rPr>
        <w:t>ates include</w:t>
      </w:r>
      <w:r w:rsidR="00882AC3">
        <w:rPr>
          <w:rFonts w:ascii="Times New Roman" w:hAnsi="Times New Roman" w:cs="Times New Roman"/>
          <w:bCs/>
          <w:iCs/>
          <w:sz w:val="20"/>
          <w:szCs w:val="20"/>
        </w:rPr>
        <w:t xml:space="preserve"> all of necessary performance metrics and </w:t>
      </w:r>
      <w:r w:rsidR="00A9636E">
        <w:rPr>
          <w:rFonts w:ascii="Times New Roman" w:hAnsi="Times New Roman" w:cs="Times New Roman"/>
          <w:bCs/>
          <w:iCs/>
          <w:sz w:val="20"/>
          <w:szCs w:val="20"/>
        </w:rPr>
        <w:t>are easy to use.</w:t>
      </w:r>
    </w:p>
    <w:p w:rsidR="00633023" w:rsidRPr="00A9636E" w:rsidRDefault="00293921" w:rsidP="006376B9">
      <w:pPr>
        <w:rPr>
          <w:rFonts w:ascii="Times New Roman" w:eastAsia="宋体" w:hAnsi="Times New Roman" w:cs="Times New Roman"/>
          <w:b/>
          <w:kern w:val="0"/>
          <w:sz w:val="20"/>
          <w:szCs w:val="20"/>
          <w:lang w:val="en-GB"/>
        </w:rPr>
      </w:pPr>
      <w:r w:rsidRPr="00A9636E">
        <w:rPr>
          <w:rFonts w:ascii="Times New Roman" w:eastAsia="宋体" w:hAnsi="Times New Roman" w:cs="Times New Roman"/>
          <w:b/>
          <w:kern w:val="0"/>
          <w:sz w:val="20"/>
          <w:szCs w:val="20"/>
          <w:lang w:val="en-GB"/>
        </w:rPr>
        <w:t xml:space="preserve">Proposal 1: </w:t>
      </w:r>
      <w:r w:rsidR="006376B9" w:rsidRPr="00A9636E">
        <w:rPr>
          <w:rFonts w:ascii="Times New Roman" w:eastAsia="宋体" w:hAnsi="Times New Roman" w:cs="Times New Roman"/>
          <w:b/>
          <w:kern w:val="0"/>
          <w:sz w:val="20"/>
          <w:szCs w:val="20"/>
          <w:lang w:val="en-GB"/>
        </w:rPr>
        <w:t>RAN1 can confirm two work assumption</w:t>
      </w:r>
      <w:r w:rsidR="00A9636E" w:rsidRPr="00A9636E">
        <w:rPr>
          <w:rFonts w:ascii="Times New Roman" w:eastAsia="宋体" w:hAnsi="Times New Roman" w:cs="Times New Roman"/>
          <w:b/>
          <w:kern w:val="0"/>
          <w:sz w:val="20"/>
          <w:szCs w:val="20"/>
          <w:lang w:val="en-GB"/>
        </w:rPr>
        <w:t>s</w:t>
      </w:r>
      <w:r w:rsidR="006376B9" w:rsidRPr="00A9636E">
        <w:rPr>
          <w:rFonts w:ascii="Times New Roman" w:eastAsia="宋体" w:hAnsi="Times New Roman" w:cs="Times New Roman"/>
          <w:b/>
          <w:kern w:val="0"/>
          <w:sz w:val="20"/>
          <w:szCs w:val="20"/>
          <w:lang w:val="en-GB"/>
        </w:rPr>
        <w:t xml:space="preserve"> on</w:t>
      </w:r>
      <w:r w:rsidR="00A9636E" w:rsidRPr="00A9636E">
        <w:rPr>
          <w:rFonts w:ascii="Times New Roman" w:hAnsi="Times New Roman" w:cs="Times New Roman"/>
          <w:b/>
          <w:kern w:val="0"/>
          <w:sz w:val="20"/>
          <w:szCs w:val="20"/>
          <w:lang w:val="en-GB"/>
        </w:rPr>
        <w:t xml:space="preserve"> table template of result summary for </w:t>
      </w:r>
      <w:r w:rsidR="00A9636E" w:rsidRPr="00A9636E">
        <w:rPr>
          <w:rFonts w:ascii="Times New Roman" w:hAnsi="Times New Roman" w:cs="Times New Roman"/>
          <w:b/>
          <w:sz w:val="20"/>
          <w:szCs w:val="20"/>
        </w:rPr>
        <w:t>for SBFD Deployment Case 4 and Case 3-2</w:t>
      </w:r>
      <w:r w:rsidR="006376B9" w:rsidRPr="00A9636E">
        <w:rPr>
          <w:rFonts w:ascii="Times New Roman" w:eastAsia="宋体" w:hAnsi="Times New Roman" w:cs="Times New Roman"/>
          <w:b/>
          <w:kern w:val="0"/>
          <w:sz w:val="20"/>
          <w:szCs w:val="20"/>
          <w:lang w:val="en-GB"/>
        </w:rPr>
        <w:t>.</w:t>
      </w:r>
    </w:p>
    <w:p w:rsidR="002122F6" w:rsidRPr="00BC72E1" w:rsidRDefault="00BC72E1" w:rsidP="00DC3B5F">
      <w:pPr>
        <w:widowControl/>
        <w:spacing w:before="240" w:after="120"/>
        <w:rPr>
          <w:rFonts w:ascii="Times New Roman" w:hAnsi="Times New Roman" w:cs="Times New Roman"/>
          <w:kern w:val="0"/>
          <w:sz w:val="20"/>
          <w:szCs w:val="20"/>
          <w:lang w:val="en-GB"/>
        </w:rPr>
      </w:pPr>
      <w:r w:rsidRPr="00BC72E1">
        <w:rPr>
          <w:rFonts w:ascii="Times New Roman" w:hAnsi="Times New Roman" w:cs="Times New Roman"/>
          <w:sz w:val="20"/>
          <w:szCs w:val="20"/>
        </w:rPr>
        <w:t xml:space="preserve">For </w:t>
      </w:r>
      <w:r w:rsidR="006376B9">
        <w:rPr>
          <w:rFonts w:ascii="Times New Roman" w:hAnsi="Times New Roman" w:cs="Times New Roman"/>
          <w:sz w:val="20"/>
          <w:szCs w:val="20"/>
        </w:rPr>
        <w:t>LLS on coverage performance,</w:t>
      </w:r>
      <w:r w:rsidRPr="00BC72E1">
        <w:rPr>
          <w:rFonts w:ascii="Times New Roman" w:hAnsi="Times New Roman" w:cs="Times New Roman"/>
          <w:bCs/>
          <w:iCs/>
          <w:sz w:val="20"/>
          <w:szCs w:val="20"/>
        </w:rPr>
        <w:t xml:space="preserve"> </w:t>
      </w:r>
      <w:r w:rsidRPr="00BC72E1">
        <w:rPr>
          <w:rFonts w:ascii="Times New Roman" w:hAnsi="Times New Roman" w:cs="Times New Roman"/>
          <w:kern w:val="0"/>
          <w:sz w:val="20"/>
          <w:szCs w:val="20"/>
          <w:lang w:val="en-GB"/>
        </w:rPr>
        <w:t>i</w:t>
      </w:r>
      <w:r w:rsidRPr="00BC72E1">
        <w:rPr>
          <w:rFonts w:ascii="Times New Roman" w:hAnsi="Times New Roman" w:cs="Times New Roman" w:hint="eastAsia"/>
          <w:kern w:val="0"/>
          <w:sz w:val="20"/>
          <w:szCs w:val="20"/>
          <w:lang w:val="en-GB"/>
        </w:rPr>
        <w:t>n</w:t>
      </w:r>
      <w:r w:rsidRPr="00BC72E1">
        <w:rPr>
          <w:rFonts w:ascii="Times New Roman" w:hAnsi="Times New Roman" w:cs="Times New Roman"/>
          <w:kern w:val="0"/>
          <w:sz w:val="20"/>
          <w:szCs w:val="20"/>
          <w:lang w:val="en-GB"/>
        </w:rPr>
        <w:t xml:space="preserve"> terms of </w:t>
      </w:r>
      <w:r w:rsidR="00A9636E">
        <w:rPr>
          <w:rFonts w:ascii="Times New Roman" w:hAnsi="Times New Roman" w:cs="Times New Roman"/>
          <w:kern w:val="0"/>
          <w:sz w:val="20"/>
          <w:szCs w:val="20"/>
          <w:lang w:val="en-GB"/>
        </w:rPr>
        <w:t>FL summary</w:t>
      </w:r>
      <w:r w:rsidR="00720805">
        <w:rPr>
          <w:rFonts w:ascii="Times New Roman" w:hAnsi="Times New Roman" w:cs="Times New Roman"/>
          <w:kern w:val="0"/>
          <w:sz w:val="20"/>
          <w:szCs w:val="20"/>
          <w:lang w:val="en-GB"/>
        </w:rPr>
        <w:t xml:space="preserve"> [2]</w:t>
      </w:r>
      <w:r w:rsidRPr="00BC72E1">
        <w:rPr>
          <w:rFonts w:ascii="Times New Roman" w:hAnsi="Times New Roman" w:cs="Times New Roman"/>
          <w:kern w:val="0"/>
          <w:sz w:val="20"/>
          <w:szCs w:val="20"/>
          <w:lang w:val="en-GB"/>
        </w:rPr>
        <w:t xml:space="preserve"> of </w:t>
      </w:r>
      <w:r w:rsidRPr="00BC72E1">
        <w:rPr>
          <w:rFonts w:ascii="Times New Roman" w:eastAsia="宋体" w:hAnsi="Times New Roman" w:cs="Times New Roman"/>
          <w:kern w:val="0"/>
          <w:sz w:val="20"/>
          <w:szCs w:val="20"/>
          <w:lang w:val="en-GB"/>
        </w:rPr>
        <w:t>RAN1#11</w:t>
      </w:r>
      <w:r w:rsidR="006376B9">
        <w:rPr>
          <w:rFonts w:ascii="Times New Roman" w:eastAsia="宋体" w:hAnsi="Times New Roman" w:cs="Times New Roman"/>
          <w:kern w:val="0"/>
          <w:sz w:val="20"/>
          <w:szCs w:val="20"/>
          <w:lang w:val="en-GB"/>
        </w:rPr>
        <w:t>2</w:t>
      </w:r>
      <w:r w:rsidR="00A9636E">
        <w:rPr>
          <w:rFonts w:ascii="Times New Roman" w:eastAsia="宋体" w:hAnsi="Times New Roman" w:cs="Times New Roman"/>
          <w:kern w:val="0"/>
          <w:sz w:val="20"/>
          <w:szCs w:val="20"/>
          <w:lang w:val="en-GB"/>
        </w:rPr>
        <w:t>bis</w:t>
      </w:r>
      <w:r w:rsidRPr="00BC72E1">
        <w:rPr>
          <w:rFonts w:ascii="Times New Roman" w:hAnsi="Times New Roman" w:cs="Times New Roman"/>
          <w:kern w:val="0"/>
          <w:sz w:val="20"/>
          <w:szCs w:val="20"/>
          <w:lang w:val="en-GB"/>
        </w:rPr>
        <w:t xml:space="preserve">, we have the following </w:t>
      </w:r>
      <w:r w:rsidR="00A9636E">
        <w:rPr>
          <w:rFonts w:ascii="Times New Roman" w:hAnsi="Times New Roman" w:cs="Times New Roman"/>
          <w:kern w:val="0"/>
          <w:sz w:val="20"/>
          <w:szCs w:val="20"/>
          <w:lang w:val="en-GB"/>
        </w:rPr>
        <w:t>two suspended proposal</w:t>
      </w:r>
      <w:r w:rsidRPr="00BC72E1">
        <w:rPr>
          <w:rFonts w:ascii="Times New Roman" w:hAnsi="Times New Roman" w:cs="Times New Roman"/>
          <w:kern w:val="0"/>
          <w:sz w:val="20"/>
          <w:szCs w:val="20"/>
          <w:lang w:val="en-GB"/>
        </w:rPr>
        <w:t>.</w:t>
      </w:r>
    </w:p>
    <w:tbl>
      <w:tblPr>
        <w:tblStyle w:val="ad"/>
        <w:tblW w:w="0" w:type="auto"/>
        <w:tblLook w:val="04A0" w:firstRow="1" w:lastRow="0" w:firstColumn="1" w:lastColumn="0" w:noHBand="0" w:noVBand="1"/>
      </w:tblPr>
      <w:tblGrid>
        <w:gridCol w:w="9060"/>
      </w:tblGrid>
      <w:tr w:rsidR="002122F6" w:rsidTr="002122F6">
        <w:tc>
          <w:tcPr>
            <w:tcW w:w="9060" w:type="dxa"/>
          </w:tcPr>
          <w:p w:rsidR="00A9636E" w:rsidRDefault="00A9636E" w:rsidP="00A9636E">
            <w:pPr>
              <w:keepNext/>
              <w:keepLines/>
              <w:tabs>
                <w:tab w:val="left" w:pos="432"/>
                <w:tab w:val="left" w:pos="720"/>
              </w:tabs>
              <w:spacing w:before="260" w:after="260" w:line="416" w:lineRule="auto"/>
              <w:outlineLvl w:val="3"/>
              <w:rPr>
                <w:rFonts w:eastAsia="黑体"/>
                <w:b/>
                <w:bCs/>
                <w:i/>
                <w:szCs w:val="32"/>
                <w:u w:val="single" w:color="4BACC6" w:themeColor="accent5"/>
              </w:rPr>
            </w:pPr>
            <w:r>
              <w:rPr>
                <w:rFonts w:eastAsia="黑体"/>
                <w:b/>
                <w:bCs/>
                <w:i/>
                <w:szCs w:val="32"/>
                <w:u w:val="single" w:color="4BACC6" w:themeColor="accent5"/>
              </w:rPr>
              <w:t>Initial proposal 3-1-2</w:t>
            </w:r>
            <w:bookmarkStart w:id="5" w:name="_Hlk132949998"/>
            <w:r w:rsidRPr="00D02504">
              <w:rPr>
                <w:rFonts w:eastAsia="黑体"/>
                <w:b/>
                <w:bCs/>
                <w:i/>
                <w:szCs w:val="32"/>
                <w:u w:val="single" w:color="4BACC6" w:themeColor="accent5"/>
              </w:rPr>
              <w:t>(</w:t>
            </w:r>
            <w:r>
              <w:rPr>
                <w:rFonts w:eastAsia="黑体"/>
                <w:b/>
                <w:bCs/>
                <w:i/>
                <w:szCs w:val="32"/>
                <w:u w:val="single" w:color="4BACC6" w:themeColor="accent5"/>
              </w:rPr>
              <w:t>Suspended</w:t>
            </w:r>
            <w:r w:rsidRPr="00D02504">
              <w:rPr>
                <w:rFonts w:eastAsia="黑体"/>
                <w:b/>
                <w:bCs/>
                <w:i/>
                <w:szCs w:val="32"/>
                <w:u w:val="single" w:color="4BACC6" w:themeColor="accent5"/>
              </w:rPr>
              <w:t>)</w:t>
            </w:r>
            <w:bookmarkEnd w:id="5"/>
            <w:r>
              <w:rPr>
                <w:rFonts w:eastAsia="黑体"/>
                <w:b/>
                <w:bCs/>
                <w:i/>
                <w:szCs w:val="32"/>
                <w:u w:val="single" w:color="4BACC6" w:themeColor="accent5"/>
              </w:rPr>
              <w:t>:</w:t>
            </w:r>
          </w:p>
          <w:p w:rsidR="00A9636E" w:rsidRPr="00A9636E" w:rsidRDefault="00A9636E" w:rsidP="00A9636E">
            <w:pPr>
              <w:keepNext/>
              <w:keepLines/>
              <w:tabs>
                <w:tab w:val="left" w:pos="432"/>
                <w:tab w:val="left" w:pos="720"/>
              </w:tabs>
              <w:spacing w:before="260" w:after="260" w:line="416" w:lineRule="auto"/>
              <w:outlineLvl w:val="3"/>
              <w:rPr>
                <w:rFonts w:eastAsia="黑体"/>
                <w:b/>
                <w:bCs/>
                <w:i/>
                <w:szCs w:val="32"/>
                <w:u w:val="single" w:color="4BACC6" w:themeColor="accent5"/>
              </w:rPr>
            </w:pPr>
            <w:r>
              <w:t>For LLS coverage performance evaluation, the following control channels are considered.</w:t>
            </w:r>
          </w:p>
          <w:p w:rsidR="00A9636E" w:rsidRDefault="00A9636E" w:rsidP="00A9636E">
            <w:pPr>
              <w:widowControl/>
              <w:numPr>
                <w:ilvl w:val="0"/>
                <w:numId w:val="42"/>
              </w:numPr>
              <w:spacing w:beforeLines="50" w:before="120" w:afterLines="50" w:after="120" w:line="259" w:lineRule="auto"/>
              <w:jc w:val="left"/>
            </w:pPr>
            <w:r>
              <w:t>PUCCH format 3 with 22 bit payload for FR1</w:t>
            </w:r>
          </w:p>
          <w:p w:rsidR="00A9636E" w:rsidRDefault="00A9636E" w:rsidP="00A9636E">
            <w:pPr>
              <w:widowControl/>
              <w:numPr>
                <w:ilvl w:val="0"/>
                <w:numId w:val="42"/>
              </w:numPr>
              <w:spacing w:beforeLines="50" w:before="120" w:afterLines="50" w:after="120" w:line="259" w:lineRule="auto"/>
              <w:jc w:val="left"/>
            </w:pPr>
            <w:r>
              <w:t>PUCCH format 1, format 3 with 11 bit payload, and format 3 with 22 bit payload for FR2-1</w:t>
            </w:r>
          </w:p>
          <w:p w:rsidR="00A9636E" w:rsidRDefault="00A9636E" w:rsidP="00A9636E">
            <w:pPr>
              <w:keepNext/>
              <w:keepLines/>
              <w:tabs>
                <w:tab w:val="left" w:pos="432"/>
                <w:tab w:val="left" w:pos="720"/>
              </w:tabs>
              <w:spacing w:before="260" w:after="260" w:line="416" w:lineRule="auto"/>
              <w:outlineLvl w:val="3"/>
              <w:rPr>
                <w:rFonts w:eastAsia="黑体"/>
                <w:b/>
                <w:bCs/>
                <w:i/>
                <w:szCs w:val="32"/>
                <w:u w:val="single" w:color="4BACC6" w:themeColor="accent5"/>
              </w:rPr>
            </w:pPr>
            <w:r>
              <w:rPr>
                <w:rFonts w:eastAsia="黑体"/>
                <w:b/>
                <w:bCs/>
                <w:i/>
                <w:szCs w:val="32"/>
                <w:u w:val="single" w:color="4BACC6" w:themeColor="accent5"/>
              </w:rPr>
              <w:t>Initial proposal 3-1-3</w:t>
            </w:r>
            <w:r w:rsidRPr="00D02504">
              <w:rPr>
                <w:rFonts w:eastAsia="黑体"/>
                <w:b/>
                <w:bCs/>
                <w:i/>
                <w:szCs w:val="32"/>
                <w:u w:val="single" w:color="4BACC6" w:themeColor="accent5"/>
              </w:rPr>
              <w:t>(Suspended)</w:t>
            </w:r>
            <w:r>
              <w:rPr>
                <w:rFonts w:eastAsia="黑体"/>
                <w:b/>
                <w:bCs/>
                <w:i/>
                <w:szCs w:val="32"/>
                <w:u w:val="single" w:color="4BACC6" w:themeColor="accent5"/>
              </w:rPr>
              <w:t>:</w:t>
            </w:r>
          </w:p>
          <w:p w:rsidR="00A9636E" w:rsidRPr="00A9636E" w:rsidRDefault="00A9636E" w:rsidP="00A9636E">
            <w:pPr>
              <w:keepNext/>
              <w:keepLines/>
              <w:tabs>
                <w:tab w:val="left" w:pos="432"/>
                <w:tab w:val="left" w:pos="720"/>
              </w:tabs>
              <w:spacing w:before="260" w:after="260" w:line="416" w:lineRule="auto"/>
              <w:outlineLvl w:val="3"/>
              <w:rPr>
                <w:rFonts w:eastAsia="黑体"/>
                <w:b/>
                <w:bCs/>
                <w:i/>
                <w:szCs w:val="32"/>
                <w:u w:val="single" w:color="4BACC6" w:themeColor="accent5"/>
              </w:rPr>
            </w:pPr>
            <w:r w:rsidRPr="00371F73">
              <w:t>Regarding PU</w:t>
            </w:r>
            <w:r>
              <w:t>C</w:t>
            </w:r>
            <w:r w:rsidRPr="00371F73">
              <w:t xml:space="preserve">CH </w:t>
            </w:r>
            <w:r>
              <w:t xml:space="preserve">UL </w:t>
            </w:r>
            <w:r w:rsidRPr="00371F73">
              <w:t xml:space="preserve">coverage </w:t>
            </w:r>
            <w:r>
              <w:t>study</w:t>
            </w:r>
            <w:r w:rsidRPr="00371F73">
              <w:t>,</w:t>
            </w:r>
          </w:p>
          <w:p w:rsidR="00A9636E" w:rsidRDefault="00A9636E" w:rsidP="00A9636E">
            <w:pPr>
              <w:widowControl/>
              <w:numPr>
                <w:ilvl w:val="0"/>
                <w:numId w:val="42"/>
              </w:numPr>
              <w:spacing w:beforeLines="50" w:before="120" w:afterLines="50" w:after="120" w:line="259" w:lineRule="auto"/>
              <w:jc w:val="left"/>
            </w:pPr>
            <w:r>
              <w:t>For baseline legacy TDD, single PUCCH in the U slot is assumed</w:t>
            </w:r>
          </w:p>
          <w:p w:rsidR="00A9636E" w:rsidRDefault="00A9636E" w:rsidP="00A9636E">
            <w:pPr>
              <w:widowControl/>
              <w:numPr>
                <w:ilvl w:val="0"/>
                <w:numId w:val="42"/>
              </w:numPr>
              <w:spacing w:beforeLines="50" w:before="120" w:afterLines="50" w:after="120" w:line="259" w:lineRule="auto"/>
              <w:jc w:val="left"/>
            </w:pPr>
            <w:r>
              <w:t>For SBFD, five repetitions of the PUCCH with and without DMRS bundling are assumed.</w:t>
            </w:r>
          </w:p>
          <w:p w:rsidR="002122F6" w:rsidRPr="00A9636E" w:rsidRDefault="00A9636E" w:rsidP="00A9636E">
            <w:pPr>
              <w:widowControl/>
              <w:numPr>
                <w:ilvl w:val="0"/>
                <w:numId w:val="42"/>
              </w:numPr>
              <w:spacing w:beforeLines="50" w:before="120" w:afterLines="50" w:after="120" w:line="259" w:lineRule="auto"/>
              <w:jc w:val="left"/>
            </w:pPr>
            <w:r>
              <w:t>UL coverage metrics are obtained using link budget template and TDD/SBFD required SINR to achieve target BLER</w:t>
            </w:r>
          </w:p>
        </w:tc>
      </w:tr>
    </w:tbl>
    <w:p w:rsidR="00F85E82" w:rsidRDefault="00F85E82" w:rsidP="002122F6">
      <w:pPr>
        <w:rPr>
          <w:rFonts w:ascii="Times New Roman" w:hAnsi="Times New Roman" w:cs="Times New Roman"/>
          <w:bCs/>
          <w:iCs/>
          <w:sz w:val="20"/>
          <w:szCs w:val="20"/>
        </w:rPr>
      </w:pPr>
    </w:p>
    <w:p w:rsidR="00F85E82" w:rsidRPr="00BC72E1" w:rsidRDefault="009203D7" w:rsidP="00303BE0">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Based on study results of TR-38.830, we need further evaluation PUCCH </w:t>
      </w:r>
      <w:r w:rsidR="00A9636E">
        <w:rPr>
          <w:rFonts w:ascii="Times New Roman" w:eastAsia="宋体" w:hAnsi="Times New Roman" w:cs="Times New Roman"/>
          <w:kern w:val="0"/>
          <w:sz w:val="20"/>
          <w:szCs w:val="20"/>
          <w:lang w:val="en-GB"/>
        </w:rPr>
        <w:t xml:space="preserve">besides PUSCH </w:t>
      </w:r>
      <w:r>
        <w:rPr>
          <w:rFonts w:ascii="Times New Roman" w:eastAsia="宋体" w:hAnsi="Times New Roman" w:cs="Times New Roman"/>
          <w:kern w:val="0"/>
          <w:sz w:val="20"/>
          <w:szCs w:val="20"/>
          <w:lang w:val="en-GB"/>
        </w:rPr>
        <w:t xml:space="preserve">for coverage performance under SBFD configuration. Considering the simulation load and limited time budget, we recommend evaluation on PUCCH format 1 and format 3 with high priority. </w:t>
      </w:r>
      <w:r w:rsidR="00720805">
        <w:rPr>
          <w:rFonts w:ascii="Times New Roman" w:eastAsia="宋体" w:hAnsi="Times New Roman" w:cs="Times New Roman"/>
          <w:kern w:val="0"/>
          <w:sz w:val="20"/>
          <w:szCs w:val="20"/>
          <w:lang w:val="en-GB"/>
        </w:rPr>
        <w:t>From our perspective, we suggest RAN1 to confirm the above two proposals on PUCCH.</w:t>
      </w:r>
    </w:p>
    <w:p w:rsidR="00BC72E1" w:rsidRDefault="00BC72E1" w:rsidP="00F85E82">
      <w:pPr>
        <w:rPr>
          <w:rFonts w:ascii="Times New Roman" w:eastAsia="宋体" w:hAnsi="Times New Roman" w:cs="Times New Roman"/>
          <w:b/>
          <w:kern w:val="0"/>
          <w:sz w:val="20"/>
          <w:szCs w:val="20"/>
          <w:lang w:val="en-GB"/>
        </w:rPr>
      </w:pPr>
    </w:p>
    <w:p w:rsidR="00720805" w:rsidRPr="00720805" w:rsidRDefault="008B4320" w:rsidP="00720805">
      <w:pPr>
        <w:keepNext/>
        <w:keepLines/>
        <w:tabs>
          <w:tab w:val="left" w:pos="432"/>
          <w:tab w:val="left" w:pos="720"/>
        </w:tabs>
        <w:spacing w:before="260" w:after="260" w:line="416" w:lineRule="auto"/>
        <w:outlineLvl w:val="3"/>
        <w:rPr>
          <w:rFonts w:ascii="Times New Roman" w:eastAsia="黑体" w:hAnsi="Times New Roman" w:cs="Times New Roman"/>
          <w:b/>
          <w:bCs/>
          <w:i/>
          <w:sz w:val="20"/>
          <w:szCs w:val="20"/>
          <w:u w:val="single" w:color="4BACC6" w:themeColor="accent5"/>
        </w:rPr>
      </w:pPr>
      <w:r w:rsidRPr="00720805">
        <w:rPr>
          <w:rFonts w:ascii="Times New Roman" w:eastAsia="宋体" w:hAnsi="Times New Roman" w:cs="Times New Roman"/>
          <w:b/>
          <w:kern w:val="0"/>
          <w:sz w:val="20"/>
          <w:szCs w:val="20"/>
          <w:lang w:val="en-GB"/>
        </w:rPr>
        <w:t xml:space="preserve">Proposal </w:t>
      </w:r>
      <w:r w:rsidR="00BC72E1" w:rsidRPr="00720805">
        <w:rPr>
          <w:rFonts w:ascii="Times New Roman" w:eastAsia="宋体" w:hAnsi="Times New Roman" w:cs="Times New Roman"/>
          <w:b/>
          <w:kern w:val="0"/>
          <w:sz w:val="20"/>
          <w:szCs w:val="20"/>
          <w:lang w:val="en-GB"/>
        </w:rPr>
        <w:t>2</w:t>
      </w:r>
      <w:r w:rsidRPr="00720805">
        <w:rPr>
          <w:rFonts w:ascii="Times New Roman" w:eastAsia="宋体" w:hAnsi="Times New Roman" w:cs="Times New Roman"/>
          <w:b/>
          <w:kern w:val="0"/>
          <w:sz w:val="20"/>
          <w:szCs w:val="20"/>
          <w:lang w:val="en-GB"/>
        </w:rPr>
        <w:t>:</w:t>
      </w:r>
      <w:r w:rsidR="003D2D46" w:rsidRPr="00720805">
        <w:rPr>
          <w:rFonts w:ascii="Times New Roman" w:hAnsi="Times New Roman" w:cs="Times New Roman"/>
          <w:b/>
          <w:sz w:val="20"/>
          <w:szCs w:val="20"/>
        </w:rPr>
        <w:t xml:space="preserve"> </w:t>
      </w:r>
      <w:r w:rsidR="00720805" w:rsidRPr="00720805">
        <w:rPr>
          <w:rFonts w:ascii="Times New Roman" w:hAnsi="Times New Roman" w:cs="Times New Roman"/>
          <w:b/>
          <w:sz w:val="20"/>
          <w:szCs w:val="20"/>
        </w:rPr>
        <w:t>For LLS coverage performance evaluation, the following control channels are considered.</w:t>
      </w:r>
    </w:p>
    <w:p w:rsidR="00720805" w:rsidRPr="00720805" w:rsidRDefault="00720805" w:rsidP="00720805">
      <w:pPr>
        <w:widowControl/>
        <w:numPr>
          <w:ilvl w:val="0"/>
          <w:numId w:val="42"/>
        </w:numPr>
        <w:spacing w:beforeLines="50" w:before="120" w:afterLines="50" w:after="120" w:line="259" w:lineRule="auto"/>
        <w:jc w:val="left"/>
        <w:rPr>
          <w:rFonts w:ascii="Times New Roman" w:hAnsi="Times New Roman" w:cs="Times New Roman"/>
          <w:b/>
          <w:sz w:val="20"/>
          <w:szCs w:val="20"/>
        </w:rPr>
      </w:pPr>
      <w:r w:rsidRPr="00720805">
        <w:rPr>
          <w:rFonts w:ascii="Times New Roman" w:hAnsi="Times New Roman" w:cs="Times New Roman"/>
          <w:b/>
          <w:sz w:val="20"/>
          <w:szCs w:val="20"/>
        </w:rPr>
        <w:t>PUCCH format 3 with 22 bit payload for FR1</w:t>
      </w:r>
    </w:p>
    <w:p w:rsidR="00720805" w:rsidRPr="00720805" w:rsidRDefault="00720805" w:rsidP="00720805">
      <w:pPr>
        <w:widowControl/>
        <w:numPr>
          <w:ilvl w:val="0"/>
          <w:numId w:val="42"/>
        </w:numPr>
        <w:spacing w:beforeLines="50" w:before="120" w:afterLines="50" w:after="120" w:line="259" w:lineRule="auto"/>
        <w:jc w:val="left"/>
        <w:rPr>
          <w:rFonts w:ascii="Times New Roman" w:hAnsi="Times New Roman" w:cs="Times New Roman"/>
          <w:b/>
          <w:sz w:val="20"/>
          <w:szCs w:val="20"/>
        </w:rPr>
      </w:pPr>
      <w:r w:rsidRPr="00720805">
        <w:rPr>
          <w:rFonts w:ascii="Times New Roman" w:hAnsi="Times New Roman" w:cs="Times New Roman"/>
          <w:b/>
          <w:sz w:val="20"/>
          <w:szCs w:val="20"/>
        </w:rPr>
        <w:t>PUCCH format 1, format 3 with 11 bit payload, and format 3 with 22 bit payload for FR2-1</w:t>
      </w:r>
    </w:p>
    <w:p w:rsidR="00720805" w:rsidRPr="00720805" w:rsidRDefault="00720805" w:rsidP="00720805">
      <w:pPr>
        <w:keepNext/>
        <w:keepLines/>
        <w:tabs>
          <w:tab w:val="left" w:pos="432"/>
          <w:tab w:val="left" w:pos="720"/>
        </w:tabs>
        <w:spacing w:before="260" w:after="260" w:line="416" w:lineRule="auto"/>
        <w:outlineLvl w:val="3"/>
        <w:rPr>
          <w:rFonts w:ascii="Times New Roman" w:eastAsia="黑体" w:hAnsi="Times New Roman" w:cs="Times New Roman"/>
          <w:b/>
          <w:bCs/>
          <w:i/>
          <w:sz w:val="20"/>
          <w:szCs w:val="20"/>
          <w:u w:val="single" w:color="4BACC6" w:themeColor="accent5"/>
        </w:rPr>
      </w:pPr>
      <w:r w:rsidRPr="00720805">
        <w:rPr>
          <w:rFonts w:ascii="Times New Roman" w:eastAsia="宋体" w:hAnsi="Times New Roman" w:cs="Times New Roman"/>
          <w:b/>
          <w:kern w:val="0"/>
          <w:sz w:val="20"/>
          <w:szCs w:val="20"/>
          <w:lang w:val="en-GB"/>
        </w:rPr>
        <w:t>Proposal 3:</w:t>
      </w:r>
      <w:r w:rsidRPr="00720805">
        <w:rPr>
          <w:rFonts w:ascii="Times New Roman" w:hAnsi="Times New Roman" w:cs="Times New Roman"/>
          <w:b/>
          <w:sz w:val="20"/>
          <w:szCs w:val="20"/>
        </w:rPr>
        <w:t xml:space="preserve"> Regarding PUCCH UL coverage study,</w:t>
      </w:r>
    </w:p>
    <w:p w:rsidR="00720805" w:rsidRPr="00720805" w:rsidRDefault="00720805" w:rsidP="00720805">
      <w:pPr>
        <w:widowControl/>
        <w:numPr>
          <w:ilvl w:val="0"/>
          <w:numId w:val="42"/>
        </w:numPr>
        <w:spacing w:beforeLines="50" w:before="120" w:afterLines="50" w:after="120" w:line="259" w:lineRule="auto"/>
        <w:jc w:val="left"/>
        <w:rPr>
          <w:rFonts w:ascii="Times New Roman" w:hAnsi="Times New Roman" w:cs="Times New Roman"/>
          <w:b/>
          <w:sz w:val="20"/>
          <w:szCs w:val="20"/>
        </w:rPr>
      </w:pPr>
      <w:r w:rsidRPr="00720805">
        <w:rPr>
          <w:rFonts w:ascii="Times New Roman" w:hAnsi="Times New Roman" w:cs="Times New Roman"/>
          <w:b/>
          <w:sz w:val="20"/>
          <w:szCs w:val="20"/>
        </w:rPr>
        <w:t>For baseline legacy TDD, single PUCCH in the U slot is assumed</w:t>
      </w:r>
    </w:p>
    <w:p w:rsidR="00720805" w:rsidRPr="00720805" w:rsidRDefault="00720805" w:rsidP="00720805">
      <w:pPr>
        <w:widowControl/>
        <w:numPr>
          <w:ilvl w:val="0"/>
          <w:numId w:val="42"/>
        </w:numPr>
        <w:spacing w:beforeLines="50" w:before="120" w:afterLines="50" w:after="120" w:line="259" w:lineRule="auto"/>
        <w:jc w:val="left"/>
        <w:rPr>
          <w:rFonts w:ascii="Times New Roman" w:hAnsi="Times New Roman" w:cs="Times New Roman"/>
          <w:b/>
          <w:sz w:val="20"/>
          <w:szCs w:val="20"/>
        </w:rPr>
      </w:pPr>
      <w:r w:rsidRPr="00720805">
        <w:rPr>
          <w:rFonts w:ascii="Times New Roman" w:hAnsi="Times New Roman" w:cs="Times New Roman"/>
          <w:b/>
          <w:sz w:val="20"/>
          <w:szCs w:val="20"/>
        </w:rPr>
        <w:t>For SBFD, five repetitions of the PUCCH with and without DMRS bundling are assumed.</w:t>
      </w:r>
    </w:p>
    <w:p w:rsidR="00720805" w:rsidRPr="00720805" w:rsidRDefault="00720805" w:rsidP="00720805">
      <w:pPr>
        <w:widowControl/>
        <w:numPr>
          <w:ilvl w:val="0"/>
          <w:numId w:val="42"/>
        </w:numPr>
        <w:spacing w:beforeLines="50" w:before="120" w:afterLines="50" w:after="120" w:line="259" w:lineRule="auto"/>
        <w:jc w:val="left"/>
        <w:rPr>
          <w:rFonts w:ascii="Times New Roman" w:hAnsi="Times New Roman" w:cs="Times New Roman"/>
          <w:b/>
          <w:sz w:val="20"/>
          <w:szCs w:val="20"/>
        </w:rPr>
      </w:pPr>
      <w:r w:rsidRPr="00720805">
        <w:rPr>
          <w:rFonts w:ascii="Times New Roman" w:hAnsi="Times New Roman" w:cs="Times New Roman"/>
          <w:b/>
          <w:sz w:val="20"/>
          <w:szCs w:val="20"/>
        </w:rPr>
        <w:t>UL coverage metrics are obtained using link budget template and TDD/SBFD required SINR to achieve target BLER</w:t>
      </w:r>
    </w:p>
    <w:p w:rsidR="00BC72E1" w:rsidRPr="00720805" w:rsidRDefault="00BC72E1" w:rsidP="00BC72E1">
      <w:pPr>
        <w:rPr>
          <w:rFonts w:ascii="Times New Roman" w:eastAsia="宋体" w:hAnsi="Times New Roman" w:cs="Times New Roman"/>
          <w:b/>
          <w:kern w:val="0"/>
          <w:sz w:val="20"/>
          <w:szCs w:val="20"/>
        </w:rPr>
      </w:pPr>
    </w:p>
    <w:p w:rsidR="00A9636E" w:rsidRDefault="00A9636E" w:rsidP="00BC72E1">
      <w:pPr>
        <w:rPr>
          <w:rFonts w:ascii="Times New Roman" w:eastAsia="宋体" w:hAnsi="Times New Roman" w:cs="Times New Roman"/>
          <w:kern w:val="0"/>
          <w:sz w:val="20"/>
          <w:szCs w:val="20"/>
          <w:lang w:val="en-GB"/>
        </w:rPr>
      </w:pPr>
    </w:p>
    <w:p w:rsidR="00A9636E" w:rsidRDefault="00A9636E" w:rsidP="00BC72E1">
      <w:pPr>
        <w:rPr>
          <w:rFonts w:ascii="Times New Roman" w:eastAsia="宋体" w:hAnsi="Times New Roman" w:cs="Times New Roman"/>
          <w:b/>
          <w:kern w:val="0"/>
          <w:sz w:val="20"/>
          <w:szCs w:val="20"/>
          <w:lang w:val="en-GB"/>
        </w:rPr>
      </w:pPr>
      <w:r>
        <w:rPr>
          <w:rFonts w:ascii="Times New Roman" w:eastAsia="宋体" w:hAnsi="Times New Roman" w:cs="Times New Roman"/>
          <w:kern w:val="0"/>
          <w:sz w:val="20"/>
          <w:szCs w:val="20"/>
          <w:lang w:val="en-GB"/>
        </w:rPr>
        <w:t>In addition, PRACH format 4 should be considered for evaluation.</w:t>
      </w:r>
    </w:p>
    <w:p w:rsidR="00A9636E" w:rsidRDefault="00A9636E" w:rsidP="00BC72E1">
      <w:pPr>
        <w:rPr>
          <w:rFonts w:ascii="Times New Roman" w:eastAsia="宋体" w:hAnsi="Times New Roman" w:cs="Times New Roman"/>
          <w:b/>
          <w:kern w:val="0"/>
          <w:sz w:val="20"/>
          <w:szCs w:val="20"/>
          <w:lang w:val="en-GB"/>
        </w:rPr>
      </w:pPr>
    </w:p>
    <w:p w:rsidR="003D2D46" w:rsidRDefault="00720805" w:rsidP="00BC72E1">
      <w:pPr>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Proposal 4</w:t>
      </w:r>
      <w:r w:rsidR="003D2D46" w:rsidRPr="003D2D46">
        <w:rPr>
          <w:rFonts w:ascii="Times New Roman" w:eastAsia="宋体" w:hAnsi="Times New Roman" w:cs="Times New Roman"/>
          <w:b/>
          <w:kern w:val="0"/>
          <w:sz w:val="20"/>
          <w:szCs w:val="20"/>
          <w:lang w:val="en-GB"/>
        </w:rPr>
        <w:t>: For link level evaluation of coverage performance, PRACH format 4 should be considered for evaluation.</w:t>
      </w:r>
    </w:p>
    <w:p w:rsidR="003D2D46" w:rsidRDefault="003D2D46" w:rsidP="00BC72E1">
      <w:pPr>
        <w:rPr>
          <w:rFonts w:ascii="Times New Roman" w:eastAsia="宋体" w:hAnsi="Times New Roman" w:cs="Times New Roman"/>
          <w:b/>
          <w:kern w:val="0"/>
          <w:sz w:val="20"/>
          <w:szCs w:val="20"/>
          <w:lang w:val="en-GB"/>
        </w:rPr>
      </w:pPr>
    </w:p>
    <w:p w:rsidR="00720805" w:rsidRDefault="00720805" w:rsidP="00BC72E1">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For performance evaluat</w:t>
      </w:r>
      <w:r w:rsidR="00767368">
        <w:rPr>
          <w:rFonts w:ascii="Times New Roman" w:eastAsia="宋体" w:hAnsi="Times New Roman" w:cs="Times New Roman"/>
          <w:kern w:val="0"/>
          <w:sz w:val="20"/>
          <w:szCs w:val="20"/>
          <w:lang w:val="en-GB"/>
        </w:rPr>
        <w:t>ion, we</w:t>
      </w:r>
      <w:r>
        <w:rPr>
          <w:rFonts w:ascii="Times New Roman" w:eastAsia="宋体" w:hAnsi="Times New Roman" w:cs="Times New Roman"/>
          <w:kern w:val="0"/>
          <w:sz w:val="20"/>
          <w:szCs w:val="20"/>
          <w:lang w:val="en-GB"/>
        </w:rPr>
        <w:t xml:space="preserve"> s</w:t>
      </w:r>
      <w:r w:rsidR="00767368">
        <w:rPr>
          <w:rFonts w:ascii="Times New Roman" w:eastAsia="宋体" w:hAnsi="Times New Roman" w:cs="Times New Roman"/>
          <w:kern w:val="0"/>
          <w:sz w:val="20"/>
          <w:szCs w:val="20"/>
          <w:lang w:val="en-GB"/>
        </w:rPr>
        <w:t>ubmitted</w:t>
      </w:r>
      <w:r>
        <w:rPr>
          <w:rFonts w:ascii="Times New Roman" w:eastAsia="宋体" w:hAnsi="Times New Roman" w:cs="Times New Roman"/>
          <w:kern w:val="0"/>
          <w:sz w:val="20"/>
          <w:szCs w:val="20"/>
          <w:lang w:val="en-GB"/>
        </w:rPr>
        <w:t xml:space="preserve"> initial performance results [3] in indoor scenarios </w:t>
      </w:r>
      <w:r w:rsidR="00767368">
        <w:rPr>
          <w:rFonts w:ascii="Times New Roman" w:eastAsia="宋体" w:hAnsi="Times New Roman" w:cs="Times New Roman"/>
          <w:kern w:val="0"/>
          <w:sz w:val="20"/>
          <w:szCs w:val="20"/>
          <w:lang w:val="en-GB"/>
        </w:rPr>
        <w:t xml:space="preserve">together with Spreadtrum in RAN1#112bis. In terms of </w:t>
      </w:r>
      <w:r>
        <w:rPr>
          <w:rFonts w:ascii="Times New Roman" w:eastAsia="宋体" w:hAnsi="Times New Roman" w:cs="Times New Roman"/>
          <w:kern w:val="0"/>
          <w:sz w:val="20"/>
          <w:szCs w:val="20"/>
          <w:lang w:val="en-GB"/>
        </w:rPr>
        <w:t>evaluation results, we draw the following observations.</w:t>
      </w:r>
    </w:p>
    <w:p w:rsidR="00720805" w:rsidRDefault="00720805" w:rsidP="00BC72E1">
      <w:pPr>
        <w:rPr>
          <w:rFonts w:ascii="Times New Roman" w:eastAsia="宋体" w:hAnsi="Times New Roman" w:cs="Times New Roman"/>
          <w:kern w:val="0"/>
          <w:sz w:val="20"/>
          <w:szCs w:val="20"/>
          <w:lang w:val="en-GB"/>
        </w:rPr>
      </w:pPr>
    </w:p>
    <w:p w:rsidR="00720805" w:rsidRPr="00767368" w:rsidRDefault="00720805" w:rsidP="00720805">
      <w:pPr>
        <w:spacing w:afterLines="50" w:after="120"/>
        <w:rPr>
          <w:rFonts w:ascii="Times New Roman" w:hAnsi="Times New Roman"/>
          <w:b/>
          <w:sz w:val="20"/>
          <w:szCs w:val="20"/>
        </w:rPr>
      </w:pPr>
      <w:r w:rsidRPr="00767368">
        <w:rPr>
          <w:rFonts w:ascii="Times New Roman" w:hAnsi="Times New Roman"/>
          <w:b/>
          <w:sz w:val="20"/>
          <w:szCs w:val="20"/>
        </w:rPr>
        <w:t>Observation 1: For indoor case, compared with legacy TDD, SBFD with {XXXXU} achieves better UL UPT in all kinds of traffic loads at the cost of degradation of DL UPT.</w:t>
      </w:r>
    </w:p>
    <w:p w:rsidR="00720805" w:rsidRPr="00767368" w:rsidRDefault="00720805" w:rsidP="00720805">
      <w:pPr>
        <w:spacing w:afterLines="50" w:after="120"/>
        <w:rPr>
          <w:rFonts w:ascii="Times New Roman" w:hAnsi="Times New Roman"/>
          <w:b/>
          <w:sz w:val="20"/>
          <w:szCs w:val="20"/>
        </w:rPr>
      </w:pPr>
      <w:r w:rsidRPr="00767368">
        <w:rPr>
          <w:rFonts w:ascii="Times New Roman" w:hAnsi="Times New Roman"/>
          <w:b/>
          <w:sz w:val="20"/>
          <w:szCs w:val="20"/>
        </w:rPr>
        <w:t>Observation 2: For indoor case</w:t>
      </w:r>
      <w:r w:rsidR="00767368" w:rsidRPr="00767368">
        <w:rPr>
          <w:rFonts w:ascii="Times New Roman" w:hAnsi="Times New Roman"/>
          <w:b/>
          <w:sz w:val="20"/>
          <w:szCs w:val="20"/>
        </w:rPr>
        <w:t>, compared with</w:t>
      </w:r>
      <w:r w:rsidRPr="00767368">
        <w:rPr>
          <w:rFonts w:ascii="Times New Roman" w:hAnsi="Times New Roman"/>
          <w:b/>
          <w:sz w:val="20"/>
          <w:szCs w:val="20"/>
        </w:rPr>
        <w:t xml:space="preserve"> legacy TDD, SBFD with {XXXXX} improve the UL UPT at 5%-UPT and 50%-UPT and has no obvious DL UPT degradation at all traffic loads.</w:t>
      </w:r>
    </w:p>
    <w:p w:rsidR="00720805" w:rsidRPr="00767368" w:rsidRDefault="00720805" w:rsidP="00720805">
      <w:pPr>
        <w:spacing w:afterLines="50" w:after="120"/>
        <w:rPr>
          <w:rFonts w:ascii="Times New Roman" w:hAnsi="Times New Roman"/>
          <w:b/>
          <w:sz w:val="20"/>
          <w:szCs w:val="20"/>
        </w:rPr>
      </w:pPr>
      <w:r w:rsidRPr="00767368">
        <w:rPr>
          <w:rFonts w:ascii="Times New Roman" w:hAnsi="Times New Roman"/>
          <w:b/>
          <w:sz w:val="20"/>
          <w:szCs w:val="20"/>
        </w:rPr>
        <w:t>Observation 3: For indoor case</w:t>
      </w:r>
      <w:r w:rsidR="00767368" w:rsidRPr="00767368">
        <w:rPr>
          <w:rFonts w:ascii="Times New Roman" w:hAnsi="Times New Roman"/>
          <w:b/>
          <w:sz w:val="20"/>
          <w:szCs w:val="20"/>
        </w:rPr>
        <w:t>, compared with</w:t>
      </w:r>
      <w:r w:rsidRPr="00767368">
        <w:rPr>
          <w:rFonts w:ascii="Times New Roman" w:hAnsi="Times New Roman"/>
          <w:b/>
          <w:sz w:val="20"/>
          <w:szCs w:val="20"/>
        </w:rPr>
        <w:t xml:space="preserve"> legacy TDD, SBFD with {XXXXU} can reduce the UL latency at the cost of increased DL latency especially in medium/high RU.</w:t>
      </w:r>
    </w:p>
    <w:p w:rsidR="00720805" w:rsidRPr="00767368" w:rsidRDefault="00720805" w:rsidP="00BC72E1">
      <w:pPr>
        <w:rPr>
          <w:rFonts w:ascii="Times New Roman" w:eastAsia="宋体" w:hAnsi="Times New Roman" w:cs="Times New Roman"/>
          <w:kern w:val="0"/>
          <w:sz w:val="20"/>
          <w:szCs w:val="20"/>
          <w:lang w:val="en-GB"/>
        </w:rPr>
      </w:pPr>
    </w:p>
    <w:p w:rsidR="00A578C0" w:rsidRPr="004A06BE" w:rsidRDefault="00A578C0" w:rsidP="001902F8">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rPr>
      </w:pPr>
      <w:r w:rsidRPr="004A06BE">
        <w:rPr>
          <w:rFonts w:ascii="Arial" w:eastAsia="宋体" w:hAnsi="Arial" w:cs="Times New Roman" w:hint="eastAsia"/>
          <w:b/>
          <w:kern w:val="32"/>
          <w:sz w:val="28"/>
          <w:szCs w:val="20"/>
          <w:lang w:val="x-none"/>
        </w:rPr>
        <w:t>Conclusion</w:t>
      </w:r>
    </w:p>
    <w:p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4A06BE">
        <w:rPr>
          <w:rFonts w:ascii="Times New Roman" w:eastAsia="宋体" w:hAnsi="Times New Roman" w:cs="Times New Roman" w:hint="eastAsia"/>
          <w:kern w:val="0"/>
          <w:sz w:val="20"/>
          <w:szCs w:val="20"/>
          <w:lang w:val="en-GB"/>
        </w:rPr>
        <w:t xml:space="preserve">In this contribution, we </w:t>
      </w:r>
      <w:r w:rsidR="00DF3512">
        <w:rPr>
          <w:rFonts w:ascii="Times New Roman" w:eastAsia="宋体" w:hAnsi="Times New Roman" w:cs="Times New Roman" w:hint="eastAsia"/>
          <w:kern w:val="0"/>
          <w:sz w:val="20"/>
          <w:szCs w:val="20"/>
          <w:lang w:val="en-GB"/>
        </w:rPr>
        <w:t>discuss</w:t>
      </w:r>
      <w:r w:rsidR="007B19EB">
        <w:rPr>
          <w:rFonts w:ascii="Times New Roman" w:eastAsia="宋体" w:hAnsi="Times New Roman" w:cs="Times New Roman" w:hint="eastAsia"/>
          <w:kern w:val="0"/>
          <w:sz w:val="20"/>
          <w:szCs w:val="20"/>
          <w:lang w:val="en-GB"/>
        </w:rPr>
        <w:t xml:space="preserve"> </w:t>
      </w:r>
      <w:r w:rsidR="0066311F" w:rsidRPr="004A06BE">
        <w:rPr>
          <w:rFonts w:ascii="Times New Roman" w:eastAsia="宋体" w:hAnsi="Times New Roman" w:cs="Times New Roman" w:hint="eastAsia"/>
          <w:kern w:val="0"/>
          <w:sz w:val="20"/>
          <w:szCs w:val="20"/>
          <w:lang w:val="en-GB"/>
        </w:rPr>
        <w:t>about</w:t>
      </w:r>
      <w:r w:rsidR="00E73510" w:rsidRPr="004A06BE">
        <w:rPr>
          <w:rFonts w:ascii="Times New Roman" w:eastAsia="宋体" w:hAnsi="Times New Roman" w:cs="Times New Roman" w:hint="eastAsia"/>
          <w:kern w:val="0"/>
          <w:sz w:val="20"/>
          <w:szCs w:val="20"/>
          <w:lang w:val="en-GB"/>
        </w:rPr>
        <w:t xml:space="preserve"> </w:t>
      </w:r>
      <w:r w:rsidR="00DC3B5F">
        <w:rPr>
          <w:rFonts w:ascii="Times New Roman" w:eastAsia="宋体" w:hAnsi="Times New Roman" w:cs="Times New Roman"/>
          <w:kern w:val="0"/>
          <w:sz w:val="20"/>
          <w:szCs w:val="20"/>
          <w:lang w:val="en-GB"/>
        </w:rPr>
        <w:t>e</w:t>
      </w:r>
      <w:r w:rsidR="00DC3B5F" w:rsidRPr="00DC3B5F">
        <w:rPr>
          <w:rFonts w:ascii="Times New Roman" w:eastAsia="宋体" w:hAnsi="Times New Roman" w:cs="Times New Roman"/>
          <w:kern w:val="0"/>
          <w:sz w:val="20"/>
          <w:szCs w:val="20"/>
          <w:lang w:val="en-GB"/>
        </w:rPr>
        <w:t>valuation on NR duplex evolution</w:t>
      </w:r>
      <w:r w:rsidR="003419CA" w:rsidRPr="003419CA">
        <w:rPr>
          <w:rFonts w:ascii="Times New Roman" w:eastAsia="宋体" w:hAnsi="Times New Roman" w:cs="Times New Roman"/>
          <w:kern w:val="0"/>
          <w:sz w:val="20"/>
          <w:szCs w:val="20"/>
          <w:lang w:val="en-GB"/>
        </w:rPr>
        <w:t xml:space="preserve"> </w:t>
      </w:r>
      <w:r w:rsidRPr="004A06BE">
        <w:rPr>
          <w:rFonts w:ascii="Times New Roman" w:eastAsia="宋体" w:hAnsi="Times New Roman" w:cs="Times New Roman" w:hint="eastAsia"/>
          <w:kern w:val="0"/>
          <w:sz w:val="20"/>
          <w:szCs w:val="20"/>
          <w:lang w:val="en-GB"/>
        </w:rPr>
        <w:t>with the following proposal.</w:t>
      </w:r>
    </w:p>
    <w:p w:rsidR="00767368" w:rsidRPr="00767368" w:rsidRDefault="00767368" w:rsidP="00767368">
      <w:pPr>
        <w:spacing w:afterLines="50" w:after="120"/>
        <w:rPr>
          <w:rFonts w:ascii="Times New Roman" w:hAnsi="Times New Roman"/>
          <w:b/>
          <w:sz w:val="20"/>
          <w:szCs w:val="20"/>
        </w:rPr>
      </w:pPr>
      <w:r w:rsidRPr="00767368">
        <w:rPr>
          <w:rFonts w:ascii="Times New Roman" w:hAnsi="Times New Roman"/>
          <w:b/>
          <w:sz w:val="20"/>
          <w:szCs w:val="20"/>
        </w:rPr>
        <w:t>Observation 1: For indoor case, compared with legacy TDD, SBFD with {XXXXU} achieves better UL UPT in all kinds of traffic loads at the cost of degradation of DL UPT.</w:t>
      </w:r>
    </w:p>
    <w:p w:rsidR="00767368" w:rsidRPr="00767368" w:rsidRDefault="00767368" w:rsidP="00767368">
      <w:pPr>
        <w:spacing w:afterLines="50" w:after="120"/>
        <w:rPr>
          <w:rFonts w:ascii="Times New Roman" w:hAnsi="Times New Roman"/>
          <w:b/>
          <w:sz w:val="20"/>
          <w:szCs w:val="20"/>
        </w:rPr>
      </w:pPr>
      <w:r w:rsidRPr="00767368">
        <w:rPr>
          <w:rFonts w:ascii="Times New Roman" w:hAnsi="Times New Roman"/>
          <w:b/>
          <w:sz w:val="20"/>
          <w:szCs w:val="20"/>
        </w:rPr>
        <w:t>Observation 2: For indoor case, compared with legacy TDD, SBFD with {XXXXX} improve the UL UPT at 5%-UPT and 50%-UPT and has no obvious DL UPT degradation at all traffic loads.</w:t>
      </w:r>
    </w:p>
    <w:p w:rsidR="00767368" w:rsidRDefault="00767368" w:rsidP="00767368">
      <w:pPr>
        <w:spacing w:afterLines="50" w:after="120"/>
        <w:rPr>
          <w:rFonts w:ascii="Times New Roman" w:hAnsi="Times New Roman"/>
          <w:b/>
          <w:sz w:val="20"/>
          <w:szCs w:val="20"/>
        </w:rPr>
      </w:pPr>
      <w:r w:rsidRPr="00767368">
        <w:rPr>
          <w:rFonts w:ascii="Times New Roman" w:hAnsi="Times New Roman"/>
          <w:b/>
          <w:sz w:val="20"/>
          <w:szCs w:val="20"/>
        </w:rPr>
        <w:t>Observation 3: For indoor case, compared with legacy TDD, SBFD with {XXXXU} can reduce the UL latency at the cost of increased DL latency especially in medium/high RU.</w:t>
      </w:r>
    </w:p>
    <w:p w:rsidR="00767368" w:rsidRPr="00A9636E" w:rsidRDefault="00767368" w:rsidP="00767368">
      <w:pPr>
        <w:rPr>
          <w:rFonts w:ascii="Times New Roman" w:eastAsia="宋体" w:hAnsi="Times New Roman" w:cs="Times New Roman"/>
          <w:b/>
          <w:kern w:val="0"/>
          <w:sz w:val="20"/>
          <w:szCs w:val="20"/>
          <w:lang w:val="en-GB"/>
        </w:rPr>
      </w:pPr>
      <w:r w:rsidRPr="00A9636E">
        <w:rPr>
          <w:rFonts w:ascii="Times New Roman" w:eastAsia="宋体" w:hAnsi="Times New Roman" w:cs="Times New Roman"/>
          <w:b/>
          <w:kern w:val="0"/>
          <w:sz w:val="20"/>
          <w:szCs w:val="20"/>
          <w:lang w:val="en-GB"/>
        </w:rPr>
        <w:t>Proposal 1: RAN1 can confirm two work assumptions on</w:t>
      </w:r>
      <w:r w:rsidRPr="00A9636E">
        <w:rPr>
          <w:rFonts w:ascii="Times New Roman" w:hAnsi="Times New Roman" w:cs="Times New Roman"/>
          <w:b/>
          <w:kern w:val="0"/>
          <w:sz w:val="20"/>
          <w:szCs w:val="20"/>
          <w:lang w:val="en-GB"/>
        </w:rPr>
        <w:t xml:space="preserve"> table template of result summary for </w:t>
      </w:r>
      <w:r w:rsidRPr="00A9636E">
        <w:rPr>
          <w:rFonts w:ascii="Times New Roman" w:hAnsi="Times New Roman" w:cs="Times New Roman"/>
          <w:b/>
          <w:sz w:val="20"/>
          <w:szCs w:val="20"/>
        </w:rPr>
        <w:t>for SBFD Deployment Case 4 and Case 3-2</w:t>
      </w:r>
      <w:r w:rsidRPr="00A9636E">
        <w:rPr>
          <w:rFonts w:ascii="Times New Roman" w:eastAsia="宋体" w:hAnsi="Times New Roman" w:cs="Times New Roman"/>
          <w:b/>
          <w:kern w:val="0"/>
          <w:sz w:val="20"/>
          <w:szCs w:val="20"/>
          <w:lang w:val="en-GB"/>
        </w:rPr>
        <w:t>.</w:t>
      </w:r>
    </w:p>
    <w:p w:rsidR="00767368" w:rsidRPr="00720805" w:rsidRDefault="00767368" w:rsidP="00767368">
      <w:pPr>
        <w:keepNext/>
        <w:keepLines/>
        <w:tabs>
          <w:tab w:val="left" w:pos="432"/>
          <w:tab w:val="left" w:pos="720"/>
        </w:tabs>
        <w:spacing w:before="260" w:after="260" w:line="416" w:lineRule="auto"/>
        <w:outlineLvl w:val="3"/>
        <w:rPr>
          <w:rFonts w:ascii="Times New Roman" w:eastAsia="黑体" w:hAnsi="Times New Roman" w:cs="Times New Roman"/>
          <w:b/>
          <w:bCs/>
          <w:i/>
          <w:sz w:val="20"/>
          <w:szCs w:val="20"/>
          <w:u w:val="single" w:color="4BACC6" w:themeColor="accent5"/>
        </w:rPr>
      </w:pPr>
      <w:r w:rsidRPr="00720805">
        <w:rPr>
          <w:rFonts w:ascii="Times New Roman" w:eastAsia="宋体" w:hAnsi="Times New Roman" w:cs="Times New Roman"/>
          <w:b/>
          <w:kern w:val="0"/>
          <w:sz w:val="20"/>
          <w:szCs w:val="20"/>
          <w:lang w:val="en-GB"/>
        </w:rPr>
        <w:t>Proposal 2:</w:t>
      </w:r>
      <w:r w:rsidRPr="00720805">
        <w:rPr>
          <w:rFonts w:ascii="Times New Roman" w:hAnsi="Times New Roman" w:cs="Times New Roman"/>
          <w:b/>
          <w:sz w:val="20"/>
          <w:szCs w:val="20"/>
        </w:rPr>
        <w:t xml:space="preserve"> For LLS coverage performance evaluation, the following control channels are considered.</w:t>
      </w:r>
    </w:p>
    <w:p w:rsidR="00767368" w:rsidRPr="00720805" w:rsidRDefault="00767368" w:rsidP="00767368">
      <w:pPr>
        <w:widowControl/>
        <w:numPr>
          <w:ilvl w:val="0"/>
          <w:numId w:val="42"/>
        </w:numPr>
        <w:spacing w:beforeLines="50" w:before="120" w:afterLines="50" w:after="120" w:line="259" w:lineRule="auto"/>
        <w:jc w:val="left"/>
        <w:rPr>
          <w:rFonts w:ascii="Times New Roman" w:hAnsi="Times New Roman" w:cs="Times New Roman"/>
          <w:b/>
          <w:sz w:val="20"/>
          <w:szCs w:val="20"/>
        </w:rPr>
      </w:pPr>
      <w:r w:rsidRPr="00720805">
        <w:rPr>
          <w:rFonts w:ascii="Times New Roman" w:hAnsi="Times New Roman" w:cs="Times New Roman"/>
          <w:b/>
          <w:sz w:val="20"/>
          <w:szCs w:val="20"/>
        </w:rPr>
        <w:t>PUCCH format 3 with 22 bit payload for FR1</w:t>
      </w:r>
    </w:p>
    <w:p w:rsidR="00767368" w:rsidRPr="00720805" w:rsidRDefault="00767368" w:rsidP="00767368">
      <w:pPr>
        <w:widowControl/>
        <w:numPr>
          <w:ilvl w:val="0"/>
          <w:numId w:val="42"/>
        </w:numPr>
        <w:spacing w:beforeLines="50" w:before="120" w:afterLines="50" w:after="120" w:line="259" w:lineRule="auto"/>
        <w:jc w:val="left"/>
        <w:rPr>
          <w:rFonts w:ascii="Times New Roman" w:hAnsi="Times New Roman" w:cs="Times New Roman"/>
          <w:b/>
          <w:sz w:val="20"/>
          <w:szCs w:val="20"/>
        </w:rPr>
      </w:pPr>
      <w:r w:rsidRPr="00720805">
        <w:rPr>
          <w:rFonts w:ascii="Times New Roman" w:hAnsi="Times New Roman" w:cs="Times New Roman"/>
          <w:b/>
          <w:sz w:val="20"/>
          <w:szCs w:val="20"/>
        </w:rPr>
        <w:t>PUCCH format 1, format 3 with 11 bit payload, and format 3 with 22 bit payload for FR2-1</w:t>
      </w:r>
    </w:p>
    <w:p w:rsidR="00767368" w:rsidRPr="00720805" w:rsidRDefault="00767368" w:rsidP="00767368">
      <w:pPr>
        <w:keepNext/>
        <w:keepLines/>
        <w:tabs>
          <w:tab w:val="left" w:pos="432"/>
          <w:tab w:val="left" w:pos="720"/>
        </w:tabs>
        <w:spacing w:before="260" w:after="260" w:line="416" w:lineRule="auto"/>
        <w:outlineLvl w:val="3"/>
        <w:rPr>
          <w:rFonts w:ascii="Times New Roman" w:eastAsia="黑体" w:hAnsi="Times New Roman" w:cs="Times New Roman"/>
          <w:b/>
          <w:bCs/>
          <w:i/>
          <w:sz w:val="20"/>
          <w:szCs w:val="20"/>
          <w:u w:val="single" w:color="4BACC6" w:themeColor="accent5"/>
        </w:rPr>
      </w:pPr>
      <w:r w:rsidRPr="00720805">
        <w:rPr>
          <w:rFonts w:ascii="Times New Roman" w:eastAsia="宋体" w:hAnsi="Times New Roman" w:cs="Times New Roman"/>
          <w:b/>
          <w:kern w:val="0"/>
          <w:sz w:val="20"/>
          <w:szCs w:val="20"/>
          <w:lang w:val="en-GB"/>
        </w:rPr>
        <w:t>Proposal 3:</w:t>
      </w:r>
      <w:r w:rsidRPr="00720805">
        <w:rPr>
          <w:rFonts w:ascii="Times New Roman" w:hAnsi="Times New Roman" w:cs="Times New Roman"/>
          <w:b/>
          <w:sz w:val="20"/>
          <w:szCs w:val="20"/>
        </w:rPr>
        <w:t xml:space="preserve"> Regarding PUCCH UL coverage study,</w:t>
      </w:r>
    </w:p>
    <w:p w:rsidR="00767368" w:rsidRPr="00720805" w:rsidRDefault="00767368" w:rsidP="00767368">
      <w:pPr>
        <w:widowControl/>
        <w:numPr>
          <w:ilvl w:val="0"/>
          <w:numId w:val="42"/>
        </w:numPr>
        <w:spacing w:beforeLines="50" w:before="120" w:afterLines="50" w:after="120" w:line="259" w:lineRule="auto"/>
        <w:jc w:val="left"/>
        <w:rPr>
          <w:rFonts w:ascii="Times New Roman" w:hAnsi="Times New Roman" w:cs="Times New Roman"/>
          <w:b/>
          <w:sz w:val="20"/>
          <w:szCs w:val="20"/>
        </w:rPr>
      </w:pPr>
      <w:r w:rsidRPr="00720805">
        <w:rPr>
          <w:rFonts w:ascii="Times New Roman" w:hAnsi="Times New Roman" w:cs="Times New Roman"/>
          <w:b/>
          <w:sz w:val="20"/>
          <w:szCs w:val="20"/>
        </w:rPr>
        <w:t>For baseline legacy TDD, single PUCCH in the U slot is assumed</w:t>
      </w:r>
    </w:p>
    <w:p w:rsidR="00767368" w:rsidRPr="00720805" w:rsidRDefault="00767368" w:rsidP="00767368">
      <w:pPr>
        <w:widowControl/>
        <w:numPr>
          <w:ilvl w:val="0"/>
          <w:numId w:val="42"/>
        </w:numPr>
        <w:spacing w:beforeLines="50" w:before="120" w:afterLines="50" w:after="120" w:line="259" w:lineRule="auto"/>
        <w:jc w:val="left"/>
        <w:rPr>
          <w:rFonts w:ascii="Times New Roman" w:hAnsi="Times New Roman" w:cs="Times New Roman"/>
          <w:b/>
          <w:sz w:val="20"/>
          <w:szCs w:val="20"/>
        </w:rPr>
      </w:pPr>
      <w:r w:rsidRPr="00720805">
        <w:rPr>
          <w:rFonts w:ascii="Times New Roman" w:hAnsi="Times New Roman" w:cs="Times New Roman"/>
          <w:b/>
          <w:sz w:val="20"/>
          <w:szCs w:val="20"/>
        </w:rPr>
        <w:t>For SBFD, five repetitions of the PUCCH with and without DMRS bundling are assumed.</w:t>
      </w:r>
    </w:p>
    <w:p w:rsidR="00767368" w:rsidRPr="00720805" w:rsidRDefault="00767368" w:rsidP="00767368">
      <w:pPr>
        <w:widowControl/>
        <w:numPr>
          <w:ilvl w:val="0"/>
          <w:numId w:val="42"/>
        </w:numPr>
        <w:spacing w:beforeLines="50" w:before="120" w:afterLines="50" w:after="120" w:line="259" w:lineRule="auto"/>
        <w:jc w:val="left"/>
        <w:rPr>
          <w:rFonts w:ascii="Times New Roman" w:hAnsi="Times New Roman" w:cs="Times New Roman"/>
          <w:b/>
          <w:sz w:val="20"/>
          <w:szCs w:val="20"/>
        </w:rPr>
      </w:pPr>
      <w:r w:rsidRPr="00720805">
        <w:rPr>
          <w:rFonts w:ascii="Times New Roman" w:hAnsi="Times New Roman" w:cs="Times New Roman"/>
          <w:b/>
          <w:sz w:val="20"/>
          <w:szCs w:val="20"/>
        </w:rPr>
        <w:t>UL coverage metrics are obtained using link budget template and TDD/SBFD required SINR to achieve target BLER</w:t>
      </w:r>
    </w:p>
    <w:p w:rsidR="00767368" w:rsidRPr="00767368" w:rsidRDefault="00767368" w:rsidP="00767368">
      <w:pPr>
        <w:pStyle w:val="a6"/>
        <w:numPr>
          <w:ilvl w:val="0"/>
          <w:numId w:val="42"/>
        </w:numPr>
        <w:ind w:firstLineChars="0"/>
        <w:rPr>
          <w:rFonts w:ascii="Times New Roman" w:eastAsia="宋体" w:hAnsi="Times New Roman" w:cs="Times New Roman"/>
          <w:b/>
          <w:kern w:val="0"/>
          <w:sz w:val="20"/>
          <w:szCs w:val="20"/>
          <w:lang w:val="en-GB"/>
        </w:rPr>
      </w:pPr>
      <w:r w:rsidRPr="00767368">
        <w:rPr>
          <w:rFonts w:ascii="Times New Roman" w:eastAsia="宋体" w:hAnsi="Times New Roman" w:cs="Times New Roman"/>
          <w:b/>
          <w:kern w:val="0"/>
          <w:sz w:val="20"/>
          <w:szCs w:val="20"/>
          <w:lang w:val="en-GB"/>
        </w:rPr>
        <w:t>Proposal 4: For link level evaluation of coverage performance, PRACH format 4 should be considered for evaluation.</w:t>
      </w:r>
    </w:p>
    <w:p w:rsidR="00A5188B" w:rsidRPr="004A06BE" w:rsidRDefault="00A5188B" w:rsidP="00481074">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rPr>
        <w:t>Reference</w:t>
      </w:r>
    </w:p>
    <w:p w:rsidR="00BC02F4" w:rsidRDefault="004A60E1" w:rsidP="00BC02F4">
      <w:pPr>
        <w:pStyle w:val="a6"/>
        <w:numPr>
          <w:ilvl w:val="0"/>
          <w:numId w:val="2"/>
        </w:numPr>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Chairman’s </w:t>
      </w:r>
      <w:r w:rsidR="00BD4893">
        <w:rPr>
          <w:rFonts w:ascii="Times New Roman" w:eastAsia="宋体" w:hAnsi="Times New Roman" w:cs="Times New Roman"/>
          <w:kern w:val="0"/>
          <w:sz w:val="20"/>
          <w:szCs w:val="20"/>
          <w:lang w:val="en-GB"/>
        </w:rPr>
        <w:t>Notes, RAN1#11</w:t>
      </w:r>
      <w:r w:rsidR="00C741B7">
        <w:rPr>
          <w:rFonts w:ascii="Times New Roman" w:eastAsia="宋体" w:hAnsi="Times New Roman" w:cs="Times New Roman"/>
          <w:kern w:val="0"/>
          <w:sz w:val="20"/>
          <w:szCs w:val="20"/>
          <w:lang w:val="en-GB"/>
        </w:rPr>
        <w:t>2</w:t>
      </w:r>
      <w:r w:rsidR="00414B9B">
        <w:rPr>
          <w:rFonts w:ascii="Times New Roman" w:eastAsia="宋体" w:hAnsi="Times New Roman" w:cs="Times New Roman"/>
          <w:kern w:val="0"/>
          <w:sz w:val="20"/>
          <w:szCs w:val="20"/>
          <w:lang w:val="en-GB"/>
        </w:rPr>
        <w:t>bis</w:t>
      </w:r>
      <w:r w:rsidR="00BC02F4" w:rsidRPr="00BC02F4">
        <w:rPr>
          <w:rFonts w:ascii="Times New Roman" w:eastAsia="宋体" w:hAnsi="Times New Roman" w:cs="Times New Roman"/>
          <w:kern w:val="0"/>
          <w:sz w:val="20"/>
          <w:szCs w:val="20"/>
          <w:lang w:val="en-GB"/>
        </w:rPr>
        <w:t xml:space="preserve">, final, </w:t>
      </w:r>
      <w:r w:rsidR="00414B9B">
        <w:rPr>
          <w:rFonts w:ascii="Times New Roman" w:eastAsia="宋体" w:hAnsi="Times New Roman" w:cs="Times New Roman" w:hint="eastAsia"/>
          <w:kern w:val="0"/>
          <w:sz w:val="20"/>
          <w:szCs w:val="20"/>
          <w:lang w:val="en-GB"/>
        </w:rPr>
        <w:t>April</w:t>
      </w:r>
      <w:r w:rsidR="00F53897">
        <w:rPr>
          <w:rFonts w:ascii="Times New Roman" w:eastAsia="宋体" w:hAnsi="Times New Roman" w:cs="Times New Roman"/>
          <w:kern w:val="0"/>
          <w:sz w:val="20"/>
          <w:szCs w:val="20"/>
          <w:lang w:val="en-GB"/>
        </w:rPr>
        <w:t xml:space="preserve"> </w:t>
      </w:r>
      <w:r w:rsidR="00414B9B">
        <w:rPr>
          <w:rFonts w:ascii="Times New Roman" w:eastAsia="宋体" w:hAnsi="Times New Roman" w:cs="Times New Roman"/>
          <w:kern w:val="0"/>
          <w:sz w:val="20"/>
          <w:szCs w:val="20"/>
          <w:lang w:val="en-GB"/>
        </w:rPr>
        <w:t>1</w:t>
      </w:r>
      <w:r w:rsidR="00C741B7">
        <w:rPr>
          <w:rFonts w:ascii="Times New Roman" w:eastAsia="宋体" w:hAnsi="Times New Roman" w:cs="Times New Roman"/>
          <w:kern w:val="0"/>
          <w:sz w:val="20"/>
          <w:szCs w:val="20"/>
          <w:lang w:val="en-GB"/>
        </w:rPr>
        <w:t>7</w:t>
      </w:r>
      <w:r w:rsidR="00414B9B">
        <w:rPr>
          <w:rFonts w:ascii="Times New Roman" w:eastAsia="宋体" w:hAnsi="Times New Roman" w:cs="Times New Roman"/>
          <w:kern w:val="0"/>
          <w:sz w:val="20"/>
          <w:szCs w:val="20"/>
          <w:lang w:val="en-GB"/>
        </w:rPr>
        <w:t>th –26th</w:t>
      </w:r>
      <w:r w:rsidR="00C741B7">
        <w:rPr>
          <w:rFonts w:ascii="Times New Roman" w:eastAsia="宋体" w:hAnsi="Times New Roman" w:cs="Times New Roman"/>
          <w:kern w:val="0"/>
          <w:sz w:val="20"/>
          <w:szCs w:val="20"/>
          <w:lang w:val="en-GB"/>
        </w:rPr>
        <w:t>, 2023</w:t>
      </w:r>
    </w:p>
    <w:p w:rsidR="00720805" w:rsidRPr="00720805" w:rsidRDefault="00720805" w:rsidP="00720805">
      <w:pPr>
        <w:pStyle w:val="a6"/>
        <w:widowControl/>
        <w:numPr>
          <w:ilvl w:val="0"/>
          <w:numId w:val="2"/>
        </w:numPr>
        <w:ind w:firstLineChars="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R1-2303947</w:t>
      </w:r>
      <w:r w:rsidRPr="00414B9B">
        <w:rPr>
          <w:rFonts w:ascii="Times New Roman" w:eastAsia="宋体" w:hAnsi="Times New Roman" w:cs="Times New Roman"/>
          <w:kern w:val="0"/>
          <w:sz w:val="20"/>
          <w:szCs w:val="20"/>
          <w:lang w:val="en-GB"/>
        </w:rPr>
        <w:t>,</w:t>
      </w:r>
      <w:r w:rsidRPr="00414B9B">
        <w:t xml:space="preserve"> </w:t>
      </w:r>
      <w:r w:rsidRPr="00720805">
        <w:rPr>
          <w:rFonts w:ascii="Times New Roman" w:eastAsia="宋体" w:hAnsi="Times New Roman" w:cs="Times New Roman"/>
          <w:kern w:val="0"/>
          <w:sz w:val="20"/>
          <w:szCs w:val="20"/>
          <w:lang w:val="en-GB"/>
        </w:rPr>
        <w:t>Summary#3 on evaluation on NR duplex evolution</w:t>
      </w:r>
      <w:r w:rsidRPr="00414B9B">
        <w:rPr>
          <w:rFonts w:ascii="Times New Roman" w:eastAsia="宋体" w:hAnsi="Times New Roman" w:cs="Times New Roman"/>
          <w:kern w:val="0"/>
          <w:sz w:val="20"/>
          <w:szCs w:val="20"/>
          <w:lang w:val="en-GB"/>
        </w:rPr>
        <w:t>,</w:t>
      </w:r>
      <w:r w:rsidRPr="00414B9B">
        <w:rPr>
          <w:rFonts w:ascii="Times New Roman" w:hAnsi="Times New Roman"/>
          <w:sz w:val="22"/>
        </w:rPr>
        <w:t xml:space="preserve"> RAN1#112bis, </w:t>
      </w:r>
      <w:r>
        <w:rPr>
          <w:rFonts w:ascii="Times New Roman" w:eastAsia="宋体" w:hAnsi="Times New Roman" w:cs="Times New Roman" w:hint="eastAsia"/>
          <w:kern w:val="0"/>
          <w:sz w:val="20"/>
          <w:szCs w:val="20"/>
          <w:lang w:val="en-GB"/>
        </w:rPr>
        <w:t>April</w:t>
      </w:r>
      <w:r>
        <w:rPr>
          <w:rFonts w:ascii="Times New Roman" w:eastAsia="宋体" w:hAnsi="Times New Roman" w:cs="Times New Roman"/>
          <w:kern w:val="0"/>
          <w:sz w:val="20"/>
          <w:szCs w:val="20"/>
          <w:lang w:val="en-GB"/>
        </w:rPr>
        <w:t xml:space="preserve"> 17th –26th, 2023</w:t>
      </w:r>
    </w:p>
    <w:p w:rsidR="00414B9B" w:rsidRPr="00414B9B" w:rsidRDefault="00414B9B" w:rsidP="00821127">
      <w:pPr>
        <w:pStyle w:val="a6"/>
        <w:widowControl/>
        <w:numPr>
          <w:ilvl w:val="0"/>
          <w:numId w:val="2"/>
        </w:numPr>
        <w:ind w:firstLineChars="0"/>
        <w:jc w:val="left"/>
        <w:rPr>
          <w:rFonts w:ascii="Times New Roman" w:eastAsia="宋体" w:hAnsi="Times New Roman" w:cs="Times New Roman"/>
          <w:kern w:val="0"/>
          <w:sz w:val="20"/>
          <w:szCs w:val="20"/>
          <w:lang w:val="en-GB"/>
        </w:rPr>
      </w:pPr>
      <w:r w:rsidRPr="00414B9B">
        <w:rPr>
          <w:rFonts w:ascii="Times New Roman" w:eastAsia="宋体" w:hAnsi="Times New Roman" w:cs="Times New Roman"/>
          <w:kern w:val="0"/>
          <w:sz w:val="20"/>
          <w:szCs w:val="20"/>
          <w:lang w:val="en-GB"/>
        </w:rPr>
        <w:t>R1-2302598,</w:t>
      </w:r>
      <w:r w:rsidRPr="00414B9B">
        <w:t xml:space="preserve"> </w:t>
      </w:r>
      <w:r w:rsidRPr="00414B9B">
        <w:rPr>
          <w:rFonts w:ascii="Times New Roman" w:eastAsia="宋体" w:hAnsi="Times New Roman" w:cs="Times New Roman"/>
          <w:kern w:val="0"/>
          <w:sz w:val="20"/>
          <w:szCs w:val="20"/>
          <w:lang w:val="en-GB"/>
        </w:rPr>
        <w:t>Discussion on evaluation on NR duplex evolution,</w:t>
      </w:r>
      <w:r w:rsidRPr="00414B9B">
        <w:rPr>
          <w:rFonts w:ascii="Times New Roman" w:hAnsi="Times New Roman"/>
          <w:sz w:val="22"/>
        </w:rPr>
        <w:t xml:space="preserve"> RAN1#112bis, </w:t>
      </w:r>
      <w:r>
        <w:rPr>
          <w:rFonts w:ascii="Times New Roman" w:eastAsia="宋体" w:hAnsi="Times New Roman" w:cs="Times New Roman" w:hint="eastAsia"/>
          <w:kern w:val="0"/>
          <w:sz w:val="20"/>
          <w:szCs w:val="20"/>
          <w:lang w:val="en-GB"/>
        </w:rPr>
        <w:t>April</w:t>
      </w:r>
      <w:r>
        <w:rPr>
          <w:rFonts w:ascii="Times New Roman" w:eastAsia="宋体" w:hAnsi="Times New Roman" w:cs="Times New Roman"/>
          <w:kern w:val="0"/>
          <w:sz w:val="20"/>
          <w:szCs w:val="20"/>
          <w:lang w:val="en-GB"/>
        </w:rPr>
        <w:t xml:space="preserve"> 17th –26th, 2023</w:t>
      </w:r>
    </w:p>
    <w:sectPr w:rsidR="00414B9B" w:rsidRPr="00414B9B"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57E" w:rsidRDefault="00B9757E" w:rsidP="00A578C0">
      <w:r>
        <w:separator/>
      </w:r>
    </w:p>
  </w:endnote>
  <w:endnote w:type="continuationSeparator" w:id="0">
    <w:p w:rsidR="00B9757E" w:rsidRDefault="00B9757E"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57E" w:rsidRDefault="00B9757E" w:rsidP="00A578C0">
      <w:r>
        <w:separator/>
      </w:r>
    </w:p>
  </w:footnote>
  <w:footnote w:type="continuationSeparator" w:id="0">
    <w:p w:rsidR="00B9757E" w:rsidRDefault="00B9757E"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749C7"/>
    <w:multiLevelType w:val="hybridMultilevel"/>
    <w:tmpl w:val="3BC67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5266AA"/>
    <w:multiLevelType w:val="hybridMultilevel"/>
    <w:tmpl w:val="47F02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9">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nsid w:val="1EA13E8E"/>
    <w:multiLevelType w:val="hybridMultilevel"/>
    <w:tmpl w:val="39F84A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A018AD"/>
    <w:multiLevelType w:val="hybridMultilevel"/>
    <w:tmpl w:val="26DE5E4A"/>
    <w:lvl w:ilvl="0" w:tplc="3788B37C">
      <w:start w:val="5"/>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3A046F90"/>
    <w:multiLevelType w:val="hybridMultilevel"/>
    <w:tmpl w:val="90DCC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5035308"/>
    <w:multiLevelType w:val="hybridMultilevel"/>
    <w:tmpl w:val="377852C6"/>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9F314E5"/>
    <w:multiLevelType w:val="multilevel"/>
    <w:tmpl w:val="F134F31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5">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6">
    <w:nsid w:val="64E14936"/>
    <w:multiLevelType w:val="hybridMultilevel"/>
    <w:tmpl w:val="D8748F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6E70594"/>
    <w:multiLevelType w:val="hybridMultilevel"/>
    <w:tmpl w:val="58F42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E492CED"/>
    <w:multiLevelType w:val="hybridMultilevel"/>
    <w:tmpl w:val="84064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C86097"/>
    <w:multiLevelType w:val="multilevel"/>
    <w:tmpl w:val="E53E0ED8"/>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Arial" w:eastAsiaTheme="minorEastAsia" w:hAnsi="Arial" w:cs="Arial" w:hint="default"/>
        <w:b/>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abstractNumId w:val="20"/>
  </w:num>
  <w:num w:numId="2">
    <w:abstractNumId w:val="7"/>
  </w:num>
  <w:num w:numId="3">
    <w:abstractNumId w:val="43"/>
  </w:num>
  <w:num w:numId="4">
    <w:abstractNumId w:val="12"/>
  </w:num>
  <w:num w:numId="5">
    <w:abstractNumId w:val="18"/>
  </w:num>
  <w:num w:numId="6">
    <w:abstractNumId w:val="25"/>
  </w:num>
  <w:num w:numId="7">
    <w:abstractNumId w:val="45"/>
  </w:num>
  <w:num w:numId="8">
    <w:abstractNumId w:val="24"/>
  </w:num>
  <w:num w:numId="9">
    <w:abstractNumId w:val="29"/>
  </w:num>
  <w:num w:numId="10">
    <w:abstractNumId w:val="9"/>
  </w:num>
  <w:num w:numId="11">
    <w:abstractNumId w:val="19"/>
  </w:num>
  <w:num w:numId="12">
    <w:abstractNumId w:val="44"/>
  </w:num>
  <w:num w:numId="13">
    <w:abstractNumId w:val="4"/>
  </w:num>
  <w:num w:numId="14">
    <w:abstractNumId w:val="2"/>
  </w:num>
  <w:num w:numId="15">
    <w:abstractNumId w:val="33"/>
  </w:num>
  <w:num w:numId="16">
    <w:abstractNumId w:val="14"/>
  </w:num>
  <w:num w:numId="17">
    <w:abstractNumId w:val="3"/>
  </w:num>
  <w:num w:numId="18">
    <w:abstractNumId w:val="10"/>
  </w:num>
  <w:num w:numId="19">
    <w:abstractNumId w:val="15"/>
  </w:num>
  <w:num w:numId="20">
    <w:abstractNumId w:val="34"/>
  </w:num>
  <w:num w:numId="21">
    <w:abstractNumId w:val="27"/>
  </w:num>
  <w:num w:numId="22">
    <w:abstractNumId w:val="23"/>
  </w:num>
  <w:num w:numId="23">
    <w:abstractNumId w:val="30"/>
  </w:num>
  <w:num w:numId="24">
    <w:abstractNumId w:val="28"/>
  </w:num>
  <w:num w:numId="25">
    <w:abstractNumId w:val="31"/>
  </w:num>
  <w:num w:numId="26">
    <w:abstractNumId w:val="40"/>
  </w:num>
  <w:num w:numId="27">
    <w:abstractNumId w:val="13"/>
  </w:num>
  <w:num w:numId="28">
    <w:abstractNumId w:val="42"/>
  </w:num>
  <w:num w:numId="29">
    <w:abstractNumId w:val="11"/>
  </w:num>
  <w:num w:numId="30">
    <w:abstractNumId w:val="37"/>
  </w:num>
  <w:num w:numId="31">
    <w:abstractNumId w:val="21"/>
  </w:num>
  <w:num w:numId="32">
    <w:abstractNumId w:val="38"/>
  </w:num>
  <w:num w:numId="33">
    <w:abstractNumId w:val="17"/>
  </w:num>
  <w:num w:numId="34">
    <w:abstractNumId w:val="39"/>
  </w:num>
  <w:num w:numId="35">
    <w:abstractNumId w:val="22"/>
  </w:num>
  <w:num w:numId="36">
    <w:abstractNumId w:val="16"/>
  </w:num>
  <w:num w:numId="37">
    <w:abstractNumId w:val="0"/>
  </w:num>
  <w:num w:numId="38">
    <w:abstractNumId w:val="5"/>
  </w:num>
  <w:num w:numId="39">
    <w:abstractNumId w:val="36"/>
  </w:num>
  <w:num w:numId="40">
    <w:abstractNumId w:val="41"/>
  </w:num>
  <w:num w:numId="41">
    <w:abstractNumId w:val="32"/>
  </w:num>
  <w:num w:numId="42">
    <w:abstractNumId w:val="1"/>
  </w:num>
  <w:num w:numId="43">
    <w:abstractNumId w:val="35"/>
  </w:num>
  <w:num w:numId="44">
    <w:abstractNumId w:val="8"/>
  </w:num>
  <w:num w:numId="45">
    <w:abstractNumId w:val="6"/>
  </w:num>
  <w:num w:numId="46">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2365"/>
    <w:rsid w:val="00002F53"/>
    <w:rsid w:val="00003437"/>
    <w:rsid w:val="00003872"/>
    <w:rsid w:val="00007ACD"/>
    <w:rsid w:val="00007C66"/>
    <w:rsid w:val="00010399"/>
    <w:rsid w:val="000137B6"/>
    <w:rsid w:val="00015940"/>
    <w:rsid w:val="00022CAF"/>
    <w:rsid w:val="00030C5E"/>
    <w:rsid w:val="00032148"/>
    <w:rsid w:val="00042A65"/>
    <w:rsid w:val="000443A2"/>
    <w:rsid w:val="000474D9"/>
    <w:rsid w:val="00054955"/>
    <w:rsid w:val="00056DDE"/>
    <w:rsid w:val="000605E6"/>
    <w:rsid w:val="00062A9E"/>
    <w:rsid w:val="00063E0D"/>
    <w:rsid w:val="00066A85"/>
    <w:rsid w:val="000701F9"/>
    <w:rsid w:val="00071D3E"/>
    <w:rsid w:val="00073FB0"/>
    <w:rsid w:val="00077040"/>
    <w:rsid w:val="000855E6"/>
    <w:rsid w:val="000A1C5A"/>
    <w:rsid w:val="000A253A"/>
    <w:rsid w:val="000A5A40"/>
    <w:rsid w:val="000A5CDA"/>
    <w:rsid w:val="000B3BC7"/>
    <w:rsid w:val="000B427E"/>
    <w:rsid w:val="000B64EA"/>
    <w:rsid w:val="000B794C"/>
    <w:rsid w:val="000C2AC7"/>
    <w:rsid w:val="000C3EC5"/>
    <w:rsid w:val="000D1D50"/>
    <w:rsid w:val="000D65A7"/>
    <w:rsid w:val="000E088B"/>
    <w:rsid w:val="000E160E"/>
    <w:rsid w:val="000E66A2"/>
    <w:rsid w:val="000F55B2"/>
    <w:rsid w:val="000F7827"/>
    <w:rsid w:val="00102FD7"/>
    <w:rsid w:val="00104183"/>
    <w:rsid w:val="0010576F"/>
    <w:rsid w:val="00105878"/>
    <w:rsid w:val="00107CA0"/>
    <w:rsid w:val="00110D40"/>
    <w:rsid w:val="00120AD5"/>
    <w:rsid w:val="001300C4"/>
    <w:rsid w:val="001314B7"/>
    <w:rsid w:val="001328CB"/>
    <w:rsid w:val="0013396E"/>
    <w:rsid w:val="00135413"/>
    <w:rsid w:val="00136000"/>
    <w:rsid w:val="00137CA9"/>
    <w:rsid w:val="00140564"/>
    <w:rsid w:val="00142825"/>
    <w:rsid w:val="00144729"/>
    <w:rsid w:val="00146ED0"/>
    <w:rsid w:val="00157937"/>
    <w:rsid w:val="00164058"/>
    <w:rsid w:val="00164469"/>
    <w:rsid w:val="001707CD"/>
    <w:rsid w:val="00173760"/>
    <w:rsid w:val="001738C4"/>
    <w:rsid w:val="001773ED"/>
    <w:rsid w:val="001902F8"/>
    <w:rsid w:val="00192DCD"/>
    <w:rsid w:val="00193172"/>
    <w:rsid w:val="00194680"/>
    <w:rsid w:val="001A3600"/>
    <w:rsid w:val="001A5C5A"/>
    <w:rsid w:val="001A657B"/>
    <w:rsid w:val="001A6A0A"/>
    <w:rsid w:val="001A6A3D"/>
    <w:rsid w:val="001B3F67"/>
    <w:rsid w:val="001B50E5"/>
    <w:rsid w:val="001B5300"/>
    <w:rsid w:val="001C54ED"/>
    <w:rsid w:val="001C6508"/>
    <w:rsid w:val="001C7237"/>
    <w:rsid w:val="001D1E03"/>
    <w:rsid w:val="001E2AC0"/>
    <w:rsid w:val="001E4D8D"/>
    <w:rsid w:val="001F42A7"/>
    <w:rsid w:val="001F54A5"/>
    <w:rsid w:val="001F7990"/>
    <w:rsid w:val="0020383B"/>
    <w:rsid w:val="002069DC"/>
    <w:rsid w:val="00206ED8"/>
    <w:rsid w:val="00207649"/>
    <w:rsid w:val="002113BD"/>
    <w:rsid w:val="002122F6"/>
    <w:rsid w:val="00215C94"/>
    <w:rsid w:val="0022153E"/>
    <w:rsid w:val="002224FF"/>
    <w:rsid w:val="00224DBF"/>
    <w:rsid w:val="002254FB"/>
    <w:rsid w:val="00225A64"/>
    <w:rsid w:val="002305BB"/>
    <w:rsid w:val="00232402"/>
    <w:rsid w:val="002344D7"/>
    <w:rsid w:val="0024169A"/>
    <w:rsid w:val="00245AD4"/>
    <w:rsid w:val="0024744C"/>
    <w:rsid w:val="002531E8"/>
    <w:rsid w:val="00262CE9"/>
    <w:rsid w:val="00265D57"/>
    <w:rsid w:val="00270FD3"/>
    <w:rsid w:val="00275E69"/>
    <w:rsid w:val="00283A65"/>
    <w:rsid w:val="00286A83"/>
    <w:rsid w:val="00293921"/>
    <w:rsid w:val="00293BBE"/>
    <w:rsid w:val="00295A4B"/>
    <w:rsid w:val="002A1831"/>
    <w:rsid w:val="002A3326"/>
    <w:rsid w:val="002A3F55"/>
    <w:rsid w:val="002A43A1"/>
    <w:rsid w:val="002B048B"/>
    <w:rsid w:val="002B2245"/>
    <w:rsid w:val="002B469D"/>
    <w:rsid w:val="002C490D"/>
    <w:rsid w:val="002D11B8"/>
    <w:rsid w:val="002D18F5"/>
    <w:rsid w:val="002D5079"/>
    <w:rsid w:val="002E08D1"/>
    <w:rsid w:val="002E0ADD"/>
    <w:rsid w:val="002E22C3"/>
    <w:rsid w:val="002E3930"/>
    <w:rsid w:val="002F0A21"/>
    <w:rsid w:val="002F7346"/>
    <w:rsid w:val="003018B7"/>
    <w:rsid w:val="00303BE0"/>
    <w:rsid w:val="00307FB0"/>
    <w:rsid w:val="00310B68"/>
    <w:rsid w:val="00316F69"/>
    <w:rsid w:val="00320D92"/>
    <w:rsid w:val="00321210"/>
    <w:rsid w:val="003214F4"/>
    <w:rsid w:val="00321B0B"/>
    <w:rsid w:val="003224A7"/>
    <w:rsid w:val="00340FD3"/>
    <w:rsid w:val="003419CA"/>
    <w:rsid w:val="00343302"/>
    <w:rsid w:val="003453BC"/>
    <w:rsid w:val="003454E3"/>
    <w:rsid w:val="003525D2"/>
    <w:rsid w:val="00352A44"/>
    <w:rsid w:val="00357E2C"/>
    <w:rsid w:val="00362F05"/>
    <w:rsid w:val="003635EF"/>
    <w:rsid w:val="00363AEE"/>
    <w:rsid w:val="00366B60"/>
    <w:rsid w:val="0036751F"/>
    <w:rsid w:val="0037342D"/>
    <w:rsid w:val="00377B8A"/>
    <w:rsid w:val="00382CEC"/>
    <w:rsid w:val="0038764A"/>
    <w:rsid w:val="003903E5"/>
    <w:rsid w:val="003A7604"/>
    <w:rsid w:val="003B2055"/>
    <w:rsid w:val="003B465C"/>
    <w:rsid w:val="003B52F8"/>
    <w:rsid w:val="003B69FC"/>
    <w:rsid w:val="003B6BBF"/>
    <w:rsid w:val="003B7E18"/>
    <w:rsid w:val="003C0E1F"/>
    <w:rsid w:val="003C2406"/>
    <w:rsid w:val="003D0A5D"/>
    <w:rsid w:val="003D2D46"/>
    <w:rsid w:val="003D4B88"/>
    <w:rsid w:val="003D50AA"/>
    <w:rsid w:val="003D78A3"/>
    <w:rsid w:val="003F34C7"/>
    <w:rsid w:val="003F3762"/>
    <w:rsid w:val="003F3BD9"/>
    <w:rsid w:val="003F72B5"/>
    <w:rsid w:val="00402D1D"/>
    <w:rsid w:val="00402D66"/>
    <w:rsid w:val="004051D9"/>
    <w:rsid w:val="00413292"/>
    <w:rsid w:val="00414B9B"/>
    <w:rsid w:val="00415A15"/>
    <w:rsid w:val="00417EC0"/>
    <w:rsid w:val="00420E3F"/>
    <w:rsid w:val="00433ED1"/>
    <w:rsid w:val="0043443E"/>
    <w:rsid w:val="00443CFE"/>
    <w:rsid w:val="00443F5F"/>
    <w:rsid w:val="00444225"/>
    <w:rsid w:val="00447F0B"/>
    <w:rsid w:val="004500D2"/>
    <w:rsid w:val="00450A5D"/>
    <w:rsid w:val="00450B70"/>
    <w:rsid w:val="004544DE"/>
    <w:rsid w:val="00465B71"/>
    <w:rsid w:val="00465FCC"/>
    <w:rsid w:val="00467FCA"/>
    <w:rsid w:val="00473E9E"/>
    <w:rsid w:val="004767FA"/>
    <w:rsid w:val="00476938"/>
    <w:rsid w:val="00481074"/>
    <w:rsid w:val="00481E71"/>
    <w:rsid w:val="00486938"/>
    <w:rsid w:val="004949D5"/>
    <w:rsid w:val="004A06BE"/>
    <w:rsid w:val="004A10CB"/>
    <w:rsid w:val="004A1CE8"/>
    <w:rsid w:val="004A303C"/>
    <w:rsid w:val="004A4A4E"/>
    <w:rsid w:val="004A60E1"/>
    <w:rsid w:val="004A705E"/>
    <w:rsid w:val="004B0142"/>
    <w:rsid w:val="004C1D12"/>
    <w:rsid w:val="004C500F"/>
    <w:rsid w:val="004C5B2F"/>
    <w:rsid w:val="004D4719"/>
    <w:rsid w:val="004D5032"/>
    <w:rsid w:val="004E071D"/>
    <w:rsid w:val="004E2E7D"/>
    <w:rsid w:val="004E5C0C"/>
    <w:rsid w:val="004E70BA"/>
    <w:rsid w:val="00500F35"/>
    <w:rsid w:val="00502C42"/>
    <w:rsid w:val="005073DC"/>
    <w:rsid w:val="0050787A"/>
    <w:rsid w:val="00511571"/>
    <w:rsid w:val="005124EA"/>
    <w:rsid w:val="00521ED8"/>
    <w:rsid w:val="00523B14"/>
    <w:rsid w:val="00533FE1"/>
    <w:rsid w:val="00534DA0"/>
    <w:rsid w:val="00534E57"/>
    <w:rsid w:val="00535B1A"/>
    <w:rsid w:val="00544FE4"/>
    <w:rsid w:val="00547461"/>
    <w:rsid w:val="00550557"/>
    <w:rsid w:val="00553D9B"/>
    <w:rsid w:val="00554DF2"/>
    <w:rsid w:val="005608F4"/>
    <w:rsid w:val="005609C1"/>
    <w:rsid w:val="00562145"/>
    <w:rsid w:val="00565903"/>
    <w:rsid w:val="00566A5C"/>
    <w:rsid w:val="005751C9"/>
    <w:rsid w:val="005769C1"/>
    <w:rsid w:val="00576FDA"/>
    <w:rsid w:val="005822E4"/>
    <w:rsid w:val="00591825"/>
    <w:rsid w:val="00592D9D"/>
    <w:rsid w:val="00594BFB"/>
    <w:rsid w:val="00596317"/>
    <w:rsid w:val="00597238"/>
    <w:rsid w:val="005A1AE8"/>
    <w:rsid w:val="005A643E"/>
    <w:rsid w:val="005B2303"/>
    <w:rsid w:val="005B311E"/>
    <w:rsid w:val="005B500C"/>
    <w:rsid w:val="005C03CA"/>
    <w:rsid w:val="005C1818"/>
    <w:rsid w:val="005C420B"/>
    <w:rsid w:val="005D18A5"/>
    <w:rsid w:val="005D4B1E"/>
    <w:rsid w:val="005D53AC"/>
    <w:rsid w:val="005E4C22"/>
    <w:rsid w:val="005E507A"/>
    <w:rsid w:val="005E6D3C"/>
    <w:rsid w:val="005F779B"/>
    <w:rsid w:val="005F7D15"/>
    <w:rsid w:val="0061336B"/>
    <w:rsid w:val="0061441C"/>
    <w:rsid w:val="00616764"/>
    <w:rsid w:val="00620208"/>
    <w:rsid w:val="00623F49"/>
    <w:rsid w:val="0062456D"/>
    <w:rsid w:val="00626582"/>
    <w:rsid w:val="0062671D"/>
    <w:rsid w:val="0062682B"/>
    <w:rsid w:val="00626AA6"/>
    <w:rsid w:val="00633023"/>
    <w:rsid w:val="006344F4"/>
    <w:rsid w:val="00635236"/>
    <w:rsid w:val="00636F20"/>
    <w:rsid w:val="006376B9"/>
    <w:rsid w:val="00643547"/>
    <w:rsid w:val="00643C26"/>
    <w:rsid w:val="006453D7"/>
    <w:rsid w:val="0065568F"/>
    <w:rsid w:val="006606EC"/>
    <w:rsid w:val="0066210A"/>
    <w:rsid w:val="0066311F"/>
    <w:rsid w:val="006636E0"/>
    <w:rsid w:val="006759FF"/>
    <w:rsid w:val="00675E58"/>
    <w:rsid w:val="00676541"/>
    <w:rsid w:val="00685118"/>
    <w:rsid w:val="00686A0A"/>
    <w:rsid w:val="00691CBB"/>
    <w:rsid w:val="00695CC2"/>
    <w:rsid w:val="00696B7D"/>
    <w:rsid w:val="006A28D8"/>
    <w:rsid w:val="006A6B89"/>
    <w:rsid w:val="006B086A"/>
    <w:rsid w:val="006B08A9"/>
    <w:rsid w:val="006B2596"/>
    <w:rsid w:val="006B6A62"/>
    <w:rsid w:val="006C0184"/>
    <w:rsid w:val="006C68F4"/>
    <w:rsid w:val="006D117A"/>
    <w:rsid w:val="006D3EF4"/>
    <w:rsid w:val="006D47CD"/>
    <w:rsid w:val="006D4DE9"/>
    <w:rsid w:val="006D6DB4"/>
    <w:rsid w:val="006D70B2"/>
    <w:rsid w:val="006D7857"/>
    <w:rsid w:val="006E361A"/>
    <w:rsid w:val="006E780A"/>
    <w:rsid w:val="006F2B0A"/>
    <w:rsid w:val="006F3A54"/>
    <w:rsid w:val="006F6EA7"/>
    <w:rsid w:val="007019D8"/>
    <w:rsid w:val="00703778"/>
    <w:rsid w:val="007037EB"/>
    <w:rsid w:val="00703B1A"/>
    <w:rsid w:val="0070513F"/>
    <w:rsid w:val="00705278"/>
    <w:rsid w:val="007103CF"/>
    <w:rsid w:val="00720805"/>
    <w:rsid w:val="0072764E"/>
    <w:rsid w:val="00730DAC"/>
    <w:rsid w:val="007356DE"/>
    <w:rsid w:val="007360F3"/>
    <w:rsid w:val="0073766F"/>
    <w:rsid w:val="00737F83"/>
    <w:rsid w:val="00741358"/>
    <w:rsid w:val="0074215F"/>
    <w:rsid w:val="0074631B"/>
    <w:rsid w:val="00750473"/>
    <w:rsid w:val="00753833"/>
    <w:rsid w:val="0075584C"/>
    <w:rsid w:val="00755AC8"/>
    <w:rsid w:val="00761B07"/>
    <w:rsid w:val="00767368"/>
    <w:rsid w:val="007757D6"/>
    <w:rsid w:val="0077604D"/>
    <w:rsid w:val="00781066"/>
    <w:rsid w:val="00781CD4"/>
    <w:rsid w:val="00781F62"/>
    <w:rsid w:val="00782C29"/>
    <w:rsid w:val="0078307B"/>
    <w:rsid w:val="00787FD1"/>
    <w:rsid w:val="00792E64"/>
    <w:rsid w:val="007A196D"/>
    <w:rsid w:val="007A39A9"/>
    <w:rsid w:val="007B03E2"/>
    <w:rsid w:val="007B0BD0"/>
    <w:rsid w:val="007B19EB"/>
    <w:rsid w:val="007B3CD5"/>
    <w:rsid w:val="007B4A64"/>
    <w:rsid w:val="007B4A91"/>
    <w:rsid w:val="007B6166"/>
    <w:rsid w:val="007B7821"/>
    <w:rsid w:val="007C0F10"/>
    <w:rsid w:val="007C6E02"/>
    <w:rsid w:val="007C7FDA"/>
    <w:rsid w:val="007D1D7F"/>
    <w:rsid w:val="007E1FDD"/>
    <w:rsid w:val="007E22A1"/>
    <w:rsid w:val="007E7E28"/>
    <w:rsid w:val="007E7F51"/>
    <w:rsid w:val="007F3436"/>
    <w:rsid w:val="007F35D2"/>
    <w:rsid w:val="007F64AB"/>
    <w:rsid w:val="007F7CAF"/>
    <w:rsid w:val="00800355"/>
    <w:rsid w:val="00802225"/>
    <w:rsid w:val="00802572"/>
    <w:rsid w:val="00812625"/>
    <w:rsid w:val="0082446F"/>
    <w:rsid w:val="00836346"/>
    <w:rsid w:val="00837909"/>
    <w:rsid w:val="008423E4"/>
    <w:rsid w:val="00843BFB"/>
    <w:rsid w:val="00843D5F"/>
    <w:rsid w:val="00850D43"/>
    <w:rsid w:val="00851459"/>
    <w:rsid w:val="00855F2C"/>
    <w:rsid w:val="00857968"/>
    <w:rsid w:val="00861D85"/>
    <w:rsid w:val="00864061"/>
    <w:rsid w:val="008770C2"/>
    <w:rsid w:val="00877D6E"/>
    <w:rsid w:val="00882AC3"/>
    <w:rsid w:val="00882FD0"/>
    <w:rsid w:val="00883DCA"/>
    <w:rsid w:val="00884961"/>
    <w:rsid w:val="00885BC5"/>
    <w:rsid w:val="00890586"/>
    <w:rsid w:val="00893684"/>
    <w:rsid w:val="00893B50"/>
    <w:rsid w:val="0089670C"/>
    <w:rsid w:val="0089692C"/>
    <w:rsid w:val="008A0387"/>
    <w:rsid w:val="008A271B"/>
    <w:rsid w:val="008A3CDF"/>
    <w:rsid w:val="008A4895"/>
    <w:rsid w:val="008A5656"/>
    <w:rsid w:val="008B111D"/>
    <w:rsid w:val="008B4320"/>
    <w:rsid w:val="008B4EE6"/>
    <w:rsid w:val="008B6562"/>
    <w:rsid w:val="008C4111"/>
    <w:rsid w:val="008C42CF"/>
    <w:rsid w:val="008C44F3"/>
    <w:rsid w:val="008C5D3D"/>
    <w:rsid w:val="008D3D73"/>
    <w:rsid w:val="008D5332"/>
    <w:rsid w:val="008E2F85"/>
    <w:rsid w:val="008F06F1"/>
    <w:rsid w:val="008F258F"/>
    <w:rsid w:val="009032D9"/>
    <w:rsid w:val="00906E8A"/>
    <w:rsid w:val="00912323"/>
    <w:rsid w:val="009171A9"/>
    <w:rsid w:val="009203D7"/>
    <w:rsid w:val="00921728"/>
    <w:rsid w:val="009321B1"/>
    <w:rsid w:val="00941672"/>
    <w:rsid w:val="00947D8C"/>
    <w:rsid w:val="00951346"/>
    <w:rsid w:val="00952CE2"/>
    <w:rsid w:val="00960E45"/>
    <w:rsid w:val="009616CA"/>
    <w:rsid w:val="009667B8"/>
    <w:rsid w:val="0096732A"/>
    <w:rsid w:val="00967708"/>
    <w:rsid w:val="00975EC0"/>
    <w:rsid w:val="009772B4"/>
    <w:rsid w:val="009776C9"/>
    <w:rsid w:val="009812D1"/>
    <w:rsid w:val="00981C91"/>
    <w:rsid w:val="00985AC0"/>
    <w:rsid w:val="00990ED9"/>
    <w:rsid w:val="009A0ABF"/>
    <w:rsid w:val="009A1175"/>
    <w:rsid w:val="009A3194"/>
    <w:rsid w:val="009B261C"/>
    <w:rsid w:val="009B62C0"/>
    <w:rsid w:val="009C3102"/>
    <w:rsid w:val="009D3AFD"/>
    <w:rsid w:val="009D46D5"/>
    <w:rsid w:val="009F1286"/>
    <w:rsid w:val="009F1B9C"/>
    <w:rsid w:val="009F31BB"/>
    <w:rsid w:val="009F47F5"/>
    <w:rsid w:val="009F54C2"/>
    <w:rsid w:val="00A007D5"/>
    <w:rsid w:val="00A02FA9"/>
    <w:rsid w:val="00A0324A"/>
    <w:rsid w:val="00A0341C"/>
    <w:rsid w:val="00A036C9"/>
    <w:rsid w:val="00A11B06"/>
    <w:rsid w:val="00A1440D"/>
    <w:rsid w:val="00A14C1D"/>
    <w:rsid w:val="00A17B18"/>
    <w:rsid w:val="00A2126D"/>
    <w:rsid w:val="00A22296"/>
    <w:rsid w:val="00A25083"/>
    <w:rsid w:val="00A318C0"/>
    <w:rsid w:val="00A3422D"/>
    <w:rsid w:val="00A35A78"/>
    <w:rsid w:val="00A35C78"/>
    <w:rsid w:val="00A35F19"/>
    <w:rsid w:val="00A364AB"/>
    <w:rsid w:val="00A37F92"/>
    <w:rsid w:val="00A408CF"/>
    <w:rsid w:val="00A44298"/>
    <w:rsid w:val="00A450CD"/>
    <w:rsid w:val="00A47DD0"/>
    <w:rsid w:val="00A50CE9"/>
    <w:rsid w:val="00A51147"/>
    <w:rsid w:val="00A5188B"/>
    <w:rsid w:val="00A53BF7"/>
    <w:rsid w:val="00A578C0"/>
    <w:rsid w:val="00A62586"/>
    <w:rsid w:val="00A65D4E"/>
    <w:rsid w:val="00A65FE9"/>
    <w:rsid w:val="00A73647"/>
    <w:rsid w:val="00A83E66"/>
    <w:rsid w:val="00A8647F"/>
    <w:rsid w:val="00A95DA4"/>
    <w:rsid w:val="00A9636E"/>
    <w:rsid w:val="00AA3128"/>
    <w:rsid w:val="00AA50C0"/>
    <w:rsid w:val="00AC5463"/>
    <w:rsid w:val="00AC7F63"/>
    <w:rsid w:val="00AD21CF"/>
    <w:rsid w:val="00AD3D40"/>
    <w:rsid w:val="00AD7D8E"/>
    <w:rsid w:val="00AE21C2"/>
    <w:rsid w:val="00AE31E2"/>
    <w:rsid w:val="00AE4543"/>
    <w:rsid w:val="00AF15F7"/>
    <w:rsid w:val="00AF7B30"/>
    <w:rsid w:val="00B07614"/>
    <w:rsid w:val="00B1156A"/>
    <w:rsid w:val="00B146A4"/>
    <w:rsid w:val="00B152E2"/>
    <w:rsid w:val="00B235C0"/>
    <w:rsid w:val="00B279D1"/>
    <w:rsid w:val="00B349EC"/>
    <w:rsid w:val="00B375FC"/>
    <w:rsid w:val="00B53DC0"/>
    <w:rsid w:val="00B608D2"/>
    <w:rsid w:val="00B6162D"/>
    <w:rsid w:val="00B6462B"/>
    <w:rsid w:val="00B65C18"/>
    <w:rsid w:val="00B6664C"/>
    <w:rsid w:val="00B66E0F"/>
    <w:rsid w:val="00B70C65"/>
    <w:rsid w:val="00B7145D"/>
    <w:rsid w:val="00B7490D"/>
    <w:rsid w:val="00B8388E"/>
    <w:rsid w:val="00B87AD0"/>
    <w:rsid w:val="00B905F2"/>
    <w:rsid w:val="00B9571E"/>
    <w:rsid w:val="00B96E2E"/>
    <w:rsid w:val="00B9757E"/>
    <w:rsid w:val="00BA341E"/>
    <w:rsid w:val="00BA3452"/>
    <w:rsid w:val="00BB3CEF"/>
    <w:rsid w:val="00BC02F4"/>
    <w:rsid w:val="00BC1B55"/>
    <w:rsid w:val="00BC1C38"/>
    <w:rsid w:val="00BC5DCB"/>
    <w:rsid w:val="00BC72E1"/>
    <w:rsid w:val="00BD4893"/>
    <w:rsid w:val="00BF0013"/>
    <w:rsid w:val="00C038AE"/>
    <w:rsid w:val="00C11E46"/>
    <w:rsid w:val="00C17161"/>
    <w:rsid w:val="00C32876"/>
    <w:rsid w:val="00C33030"/>
    <w:rsid w:val="00C33138"/>
    <w:rsid w:val="00C33AFB"/>
    <w:rsid w:val="00C3547C"/>
    <w:rsid w:val="00C42295"/>
    <w:rsid w:val="00C42B12"/>
    <w:rsid w:val="00C45F36"/>
    <w:rsid w:val="00C5061B"/>
    <w:rsid w:val="00C506A4"/>
    <w:rsid w:val="00C542FF"/>
    <w:rsid w:val="00C54F30"/>
    <w:rsid w:val="00C6078C"/>
    <w:rsid w:val="00C61F53"/>
    <w:rsid w:val="00C70107"/>
    <w:rsid w:val="00C741B7"/>
    <w:rsid w:val="00C75375"/>
    <w:rsid w:val="00C77748"/>
    <w:rsid w:val="00C85E6F"/>
    <w:rsid w:val="00C8645C"/>
    <w:rsid w:val="00C87316"/>
    <w:rsid w:val="00C94150"/>
    <w:rsid w:val="00C947EA"/>
    <w:rsid w:val="00C94AD1"/>
    <w:rsid w:val="00CA0BA4"/>
    <w:rsid w:val="00CB0AC8"/>
    <w:rsid w:val="00CB0C02"/>
    <w:rsid w:val="00CB381B"/>
    <w:rsid w:val="00CB46B2"/>
    <w:rsid w:val="00CC03DC"/>
    <w:rsid w:val="00CC300E"/>
    <w:rsid w:val="00CC5A74"/>
    <w:rsid w:val="00CD63DC"/>
    <w:rsid w:val="00CE39AA"/>
    <w:rsid w:val="00CF48EA"/>
    <w:rsid w:val="00CF577E"/>
    <w:rsid w:val="00D001F5"/>
    <w:rsid w:val="00D006D3"/>
    <w:rsid w:val="00D02C74"/>
    <w:rsid w:val="00D055C7"/>
    <w:rsid w:val="00D06C39"/>
    <w:rsid w:val="00D07BFB"/>
    <w:rsid w:val="00D25DF4"/>
    <w:rsid w:val="00D306D5"/>
    <w:rsid w:val="00D30B4E"/>
    <w:rsid w:val="00D30C14"/>
    <w:rsid w:val="00D34210"/>
    <w:rsid w:val="00D401C7"/>
    <w:rsid w:val="00D43FB3"/>
    <w:rsid w:val="00D533B8"/>
    <w:rsid w:val="00D55B25"/>
    <w:rsid w:val="00D56570"/>
    <w:rsid w:val="00D57F9E"/>
    <w:rsid w:val="00D64D04"/>
    <w:rsid w:val="00D654D4"/>
    <w:rsid w:val="00D73056"/>
    <w:rsid w:val="00D73BCB"/>
    <w:rsid w:val="00D769F7"/>
    <w:rsid w:val="00D80485"/>
    <w:rsid w:val="00D825EE"/>
    <w:rsid w:val="00D82E25"/>
    <w:rsid w:val="00D876EB"/>
    <w:rsid w:val="00D90389"/>
    <w:rsid w:val="00D91A46"/>
    <w:rsid w:val="00D9266A"/>
    <w:rsid w:val="00D930D3"/>
    <w:rsid w:val="00D94A2F"/>
    <w:rsid w:val="00D97791"/>
    <w:rsid w:val="00DA143B"/>
    <w:rsid w:val="00DA1B8C"/>
    <w:rsid w:val="00DA73E0"/>
    <w:rsid w:val="00DB57C7"/>
    <w:rsid w:val="00DC0054"/>
    <w:rsid w:val="00DC3075"/>
    <w:rsid w:val="00DC3B5F"/>
    <w:rsid w:val="00DC6047"/>
    <w:rsid w:val="00DC71C2"/>
    <w:rsid w:val="00DD1A01"/>
    <w:rsid w:val="00DD2A9A"/>
    <w:rsid w:val="00DD701A"/>
    <w:rsid w:val="00DE046B"/>
    <w:rsid w:val="00DE070C"/>
    <w:rsid w:val="00DE26EA"/>
    <w:rsid w:val="00DE48F4"/>
    <w:rsid w:val="00DF215D"/>
    <w:rsid w:val="00DF33FF"/>
    <w:rsid w:val="00DF3512"/>
    <w:rsid w:val="00DF6593"/>
    <w:rsid w:val="00DF7A6B"/>
    <w:rsid w:val="00E00DE7"/>
    <w:rsid w:val="00E04E85"/>
    <w:rsid w:val="00E05CD9"/>
    <w:rsid w:val="00E0672B"/>
    <w:rsid w:val="00E14190"/>
    <w:rsid w:val="00E20D04"/>
    <w:rsid w:val="00E21B74"/>
    <w:rsid w:val="00E24F84"/>
    <w:rsid w:val="00E263B7"/>
    <w:rsid w:val="00E33082"/>
    <w:rsid w:val="00E3364B"/>
    <w:rsid w:val="00E34712"/>
    <w:rsid w:val="00E366DE"/>
    <w:rsid w:val="00E41D52"/>
    <w:rsid w:val="00E506A3"/>
    <w:rsid w:val="00E61116"/>
    <w:rsid w:val="00E7005E"/>
    <w:rsid w:val="00E73510"/>
    <w:rsid w:val="00E80BCF"/>
    <w:rsid w:val="00E82442"/>
    <w:rsid w:val="00E92E5F"/>
    <w:rsid w:val="00E93D4B"/>
    <w:rsid w:val="00EA3CF5"/>
    <w:rsid w:val="00EA638F"/>
    <w:rsid w:val="00EC1FE6"/>
    <w:rsid w:val="00ED06E5"/>
    <w:rsid w:val="00ED2846"/>
    <w:rsid w:val="00EE777A"/>
    <w:rsid w:val="00EF60D3"/>
    <w:rsid w:val="00F0051C"/>
    <w:rsid w:val="00F00656"/>
    <w:rsid w:val="00F01BC7"/>
    <w:rsid w:val="00F03767"/>
    <w:rsid w:val="00F04231"/>
    <w:rsid w:val="00F04FCA"/>
    <w:rsid w:val="00F104AB"/>
    <w:rsid w:val="00F105E2"/>
    <w:rsid w:val="00F10651"/>
    <w:rsid w:val="00F21CF6"/>
    <w:rsid w:val="00F2324F"/>
    <w:rsid w:val="00F25BDD"/>
    <w:rsid w:val="00F26607"/>
    <w:rsid w:val="00F2770D"/>
    <w:rsid w:val="00F32A16"/>
    <w:rsid w:val="00F36470"/>
    <w:rsid w:val="00F37715"/>
    <w:rsid w:val="00F40D5B"/>
    <w:rsid w:val="00F42A0C"/>
    <w:rsid w:val="00F45EFC"/>
    <w:rsid w:val="00F53897"/>
    <w:rsid w:val="00F55F42"/>
    <w:rsid w:val="00F56FB3"/>
    <w:rsid w:val="00F63208"/>
    <w:rsid w:val="00F63B30"/>
    <w:rsid w:val="00F63C64"/>
    <w:rsid w:val="00F64E9B"/>
    <w:rsid w:val="00F6572D"/>
    <w:rsid w:val="00F83318"/>
    <w:rsid w:val="00F839C6"/>
    <w:rsid w:val="00F8481C"/>
    <w:rsid w:val="00F85E82"/>
    <w:rsid w:val="00F9124B"/>
    <w:rsid w:val="00F943EA"/>
    <w:rsid w:val="00F9494A"/>
    <w:rsid w:val="00F971BA"/>
    <w:rsid w:val="00FA367E"/>
    <w:rsid w:val="00FA378F"/>
    <w:rsid w:val="00FA3E83"/>
    <w:rsid w:val="00FA415F"/>
    <w:rsid w:val="00FA70EE"/>
    <w:rsid w:val="00FB5D97"/>
    <w:rsid w:val="00FB662D"/>
    <w:rsid w:val="00FB74DE"/>
    <w:rsid w:val="00FB7B39"/>
    <w:rsid w:val="00FB7DB8"/>
    <w:rsid w:val="00FC00D4"/>
    <w:rsid w:val="00FD1CC8"/>
    <w:rsid w:val="00FD3800"/>
    <w:rsid w:val="00FD43A2"/>
    <w:rsid w:val="00FD6852"/>
    <w:rsid w:val="00FE0C9A"/>
    <w:rsid w:val="00FE2657"/>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CFED4D-4CFB-4698-9899-16CC54EE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paragraph" w:styleId="3">
    <w:name w:val="heading 3"/>
    <w:basedOn w:val="a"/>
    <w:next w:val="a"/>
    <w:link w:val="3Char"/>
    <w:uiPriority w:val="9"/>
    <w:unhideWhenUsed/>
    <w:qFormat/>
    <w:rsid w:val="00D825EE"/>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DF215D"/>
    <w:rPr>
      <w:rFonts w:asciiTheme="majorHAnsi" w:eastAsiaTheme="majorEastAsia" w:hAnsiTheme="majorHAnsi" w:cstheme="majorBidi"/>
      <w:b/>
      <w:bCs/>
      <w:color w:val="4F81BD" w:themeColor="accent1"/>
      <w:kern w:val="0"/>
      <w:sz w:val="26"/>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D825EE"/>
    <w:rPr>
      <w:b/>
      <w:bCs/>
      <w:sz w:val="32"/>
      <w:szCs w:val="32"/>
    </w:rPr>
  </w:style>
  <w:style w:type="character" w:customStyle="1" w:styleId="4Char">
    <w:name w:val="标题 4 Char"/>
    <w:basedOn w:val="a0"/>
    <w:link w:val="4"/>
    <w:uiPriority w:val="9"/>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 w:type="paragraph" w:customStyle="1" w:styleId="NO">
    <w:name w:val="NO"/>
    <w:basedOn w:val="a"/>
    <w:rsid w:val="00DC3B5F"/>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DC3B5F"/>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C3B5F"/>
    <w:rPr>
      <w:rFonts w:ascii="Arial" w:eastAsia="Times New Roman" w:hAnsi="Arial" w:cs="Times New Roman"/>
      <w:kern w:val="0"/>
      <w:sz w:val="18"/>
      <w:szCs w:val="20"/>
      <w:lang w:val="en-GB" w:eastAsia="en-US"/>
    </w:rPr>
  </w:style>
  <w:style w:type="paragraph" w:customStyle="1" w:styleId="B1">
    <w:name w:val="B1"/>
    <w:basedOn w:val="af1"/>
    <w:link w:val="B10"/>
    <w:qFormat/>
    <w:rsid w:val="00C741B7"/>
    <w:pPr>
      <w:widowControl/>
      <w:spacing w:after="180"/>
      <w:ind w:left="568"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C741B7"/>
    <w:rPr>
      <w:rFonts w:ascii="Times New Roman" w:eastAsia="MS Mincho" w:hAnsi="Times New Roman" w:cs="Times New Roman"/>
      <w:kern w:val="0"/>
      <w:sz w:val="20"/>
      <w:szCs w:val="20"/>
      <w:lang w:val="en-GB" w:eastAsia="en-US"/>
    </w:rPr>
  </w:style>
  <w:style w:type="paragraph" w:styleId="af1">
    <w:name w:val="List"/>
    <w:basedOn w:val="a"/>
    <w:uiPriority w:val="99"/>
    <w:semiHidden/>
    <w:unhideWhenUsed/>
    <w:rsid w:val="00C741B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21213">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 w:id="213216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148B9-5DD0-4A15-B230-BF5A9BC12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1836</Words>
  <Characters>10466</Characters>
  <Application>Microsoft Office Word</Application>
  <DocSecurity>0</DocSecurity>
  <Lines>87</Lines>
  <Paragraphs>24</Paragraphs>
  <ScaleCrop>false</ScaleCrop>
  <Company>CATT</Company>
  <LinksUpToDate>false</LinksUpToDate>
  <CharactersWithSpaces>12278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zhoulei</cp:lastModifiedBy>
  <cp:revision>7</cp:revision>
  <dcterms:created xsi:type="dcterms:W3CDTF">2023-05-04T08:16:00Z</dcterms:created>
  <dcterms:modified xsi:type="dcterms:W3CDTF">2023-05-06T01:16:00Z</dcterms:modified>
</cp:coreProperties>
</file>